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5E02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27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32762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1D594C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312 416,2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182 282,4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312 416,2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182 282,4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184 781,2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14 023,3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14 057,1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14 087,1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6 314,7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3 973,8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863,4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872,7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241,6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1 873,2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456,0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528,0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284,5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400,6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3 976,8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8 359,4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51,1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992,5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241,8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51 480,9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36 283,9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38 073,6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4 357,9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48,5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6 082,9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5 666,8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"Повышение безопасности дорожного движения на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территории Миллеровского городского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639,8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200,1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2 917,3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6 590,8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4 711,9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3 237,9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2 561,7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4 261,0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-7 769,2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95 389,6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15 749,8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«Создание условий для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обеспечения качественными коммунальными услугами населения Миллеровского городского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23 332,5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19 014,9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9 329,8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6 802,4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2 371,4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1 999,9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9 508,9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9 794,2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10 087,5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791,1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693,8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4 400,9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428,8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7 769,2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6 896,9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3 326,1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1 125,0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21.1.00.L5551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5 860,0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6 406,9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3 335,5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502,6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25 461,4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1 962,5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1 045,9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55,5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6 450,3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6 343,0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6 361,8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424,8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1 061,2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4 223,1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4 808,2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5 391,0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2 257,2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2 260,2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1 106,6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1 315,1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4 016,8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4 018,3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4 019,7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08.3.00.29320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261,6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2 947,8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382,0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Расходы, связанные с реализацией федеральной целевой программы «Увековечение памяти погибших при защите Отечества на 2019 - 2024 годы» в рамках 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08.4.00.L2990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7865D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</w:t>
            </w:r>
            <w:bookmarkStart w:id="0" w:name="_GoBack"/>
            <w:r w:rsidRPr="007865D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7865DD" w:rsidRPr="007865D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7865DD" w:rsidRPr="007865DD">
              <w:rPr>
                <w:rFonts w:ascii="Times New Roman" w:hAnsi="Times New Roman"/>
                <w:sz w:val="28"/>
                <w:szCs w:val="28"/>
              </w:rPr>
              <w:t>Публичные нормативные социальные выплаты гражданам</w:t>
            </w:r>
            <w:r w:rsidR="007865DD" w:rsidRPr="007865D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DE4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DE4D4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210,8</w:t>
            </w:r>
          </w:p>
        </w:tc>
      </w:tr>
      <w:tr w:rsidR="0032762F" w:rsidRPr="0032762F" w:rsidTr="0032762F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762F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62F" w:rsidRPr="0032762F" w:rsidRDefault="0032762F" w:rsidP="003276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2762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3F5C"/>
    <w:rsid w:val="0002022B"/>
    <w:rsid w:val="00055255"/>
    <w:rsid w:val="0006126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2217B8"/>
    <w:rsid w:val="00244B46"/>
    <w:rsid w:val="00252B46"/>
    <w:rsid w:val="00254448"/>
    <w:rsid w:val="002702C1"/>
    <w:rsid w:val="00286ACA"/>
    <w:rsid w:val="00287F2E"/>
    <w:rsid w:val="0029698F"/>
    <w:rsid w:val="002A56A6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3C5A"/>
    <w:rsid w:val="003D77B3"/>
    <w:rsid w:val="003F4CF0"/>
    <w:rsid w:val="0041269A"/>
    <w:rsid w:val="00413E30"/>
    <w:rsid w:val="00425D03"/>
    <w:rsid w:val="00455CAA"/>
    <w:rsid w:val="004632AD"/>
    <w:rsid w:val="0047293C"/>
    <w:rsid w:val="00476E8C"/>
    <w:rsid w:val="004A0F62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51453"/>
    <w:rsid w:val="0056312D"/>
    <w:rsid w:val="0058479E"/>
    <w:rsid w:val="00594355"/>
    <w:rsid w:val="005B096C"/>
    <w:rsid w:val="005B21CE"/>
    <w:rsid w:val="005B4428"/>
    <w:rsid w:val="005C2A41"/>
    <w:rsid w:val="005D29C3"/>
    <w:rsid w:val="005E0208"/>
    <w:rsid w:val="005F1DDC"/>
    <w:rsid w:val="005F68CD"/>
    <w:rsid w:val="006027E6"/>
    <w:rsid w:val="00607906"/>
    <w:rsid w:val="00633251"/>
    <w:rsid w:val="0064686E"/>
    <w:rsid w:val="00664C84"/>
    <w:rsid w:val="006738DA"/>
    <w:rsid w:val="00683B69"/>
    <w:rsid w:val="00687674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7830"/>
    <w:rsid w:val="007B18B4"/>
    <w:rsid w:val="007C105F"/>
    <w:rsid w:val="007C2C36"/>
    <w:rsid w:val="007C3E93"/>
    <w:rsid w:val="007D3D85"/>
    <w:rsid w:val="007D710F"/>
    <w:rsid w:val="007E1648"/>
    <w:rsid w:val="007E6663"/>
    <w:rsid w:val="008167CA"/>
    <w:rsid w:val="008429CC"/>
    <w:rsid w:val="008524A2"/>
    <w:rsid w:val="00853F2F"/>
    <w:rsid w:val="0086324F"/>
    <w:rsid w:val="00866933"/>
    <w:rsid w:val="008854C6"/>
    <w:rsid w:val="008858A1"/>
    <w:rsid w:val="008A25B3"/>
    <w:rsid w:val="008C3CD6"/>
    <w:rsid w:val="008D14B6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B249C6"/>
    <w:rsid w:val="00B30052"/>
    <w:rsid w:val="00B3424F"/>
    <w:rsid w:val="00B36C7D"/>
    <w:rsid w:val="00B52206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263E"/>
    <w:rsid w:val="00C36CCB"/>
    <w:rsid w:val="00C90680"/>
    <w:rsid w:val="00CB729F"/>
    <w:rsid w:val="00CC7E97"/>
    <w:rsid w:val="00CE00A3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03711-2B4A-462A-8886-46194A83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25</Pages>
  <Words>4948</Words>
  <Characters>28208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50</cp:revision>
  <cp:lastPrinted>2017-12-28T07:37:00Z</cp:lastPrinted>
  <dcterms:created xsi:type="dcterms:W3CDTF">2020-07-06T06:41:00Z</dcterms:created>
  <dcterms:modified xsi:type="dcterms:W3CDTF">2021-02-12T07:52:00Z</dcterms:modified>
</cp:coreProperties>
</file>