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4F0" w:rsidRDefault="002154F0" w:rsidP="002154F0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 xml:space="preserve"> Приложение </w:t>
      </w:r>
      <w:r w:rsidR="008B54D5">
        <w:rPr>
          <w:rFonts w:ascii="Times New Roman" w:hAnsi="Times New Roman" w:cs="Times New Roman"/>
          <w:color w:val="000000"/>
          <w:sz w:val="18"/>
          <w:szCs w:val="18"/>
        </w:rPr>
        <w:t>1</w:t>
      </w:r>
    </w:p>
    <w:p w:rsidR="002154F0" w:rsidRDefault="002154F0" w:rsidP="002154F0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"О внесении изменений</w:t>
      </w:r>
    </w:p>
    <w:p w:rsidR="002154F0" w:rsidRDefault="002154F0" w:rsidP="002154F0">
      <w:pPr>
        <w:widowControl w:val="0"/>
        <w:tabs>
          <w:tab w:val="right" w:pos="9780"/>
        </w:tabs>
        <w:autoSpaceDE w:val="0"/>
        <w:autoSpaceDN w:val="0"/>
        <w:adjustRightInd w:val="0"/>
        <w:spacing w:before="10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в решение Собрания депутатов Миллеровского городского поселения от 23.12.2013 № 54 "О бюджете Миллеровского</w:t>
      </w:r>
    </w:p>
    <w:p w:rsidR="002154F0" w:rsidRDefault="002154F0" w:rsidP="002154F0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2014 год и плановый период 2015 и 2016 годов"</w:t>
      </w:r>
    </w:p>
    <w:p w:rsidR="002154F0" w:rsidRDefault="002154F0" w:rsidP="002154F0">
      <w:pPr>
        <w:widowControl w:val="0"/>
        <w:tabs>
          <w:tab w:val="right" w:pos="9567"/>
        </w:tabs>
        <w:autoSpaceDE w:val="0"/>
        <w:autoSpaceDN w:val="0"/>
        <w:adjustRightInd w:val="0"/>
        <w:spacing w:before="393"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sz w:val="24"/>
          <w:szCs w:val="24"/>
        </w:rPr>
        <w:t>«</w:t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8</w:t>
      </w:r>
    </w:p>
    <w:p w:rsidR="002154F0" w:rsidRDefault="002154F0" w:rsidP="002154F0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23.12.2013 № 54</w:t>
      </w:r>
    </w:p>
    <w:p w:rsidR="002154F0" w:rsidRDefault="002154F0" w:rsidP="002154F0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"О бюджете Миллеровского городского поселения Миллеровского района на 2014 год и плановый период 2015 и 2016</w:t>
      </w:r>
    </w:p>
    <w:p w:rsidR="002154F0" w:rsidRDefault="002154F0" w:rsidP="002154F0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Times New Roman" w:hAnsi="Times New Roman" w:cs="Times New Roman"/>
          <w:color w:val="000000"/>
          <w:sz w:val="18"/>
          <w:szCs w:val="18"/>
        </w:rPr>
        <w:t>годов"</w:t>
      </w:r>
    </w:p>
    <w:p w:rsidR="008A4D8E" w:rsidRDefault="003144D3" w:rsidP="0051137B">
      <w:pPr>
        <w:widowControl w:val="0"/>
        <w:tabs>
          <w:tab w:val="center" w:pos="1293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Распределение бюджетных ассигнований</w:t>
      </w:r>
    </w:p>
    <w:p w:rsidR="008A4D8E" w:rsidRDefault="003144D3" w:rsidP="0051137B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разделам, подразделам, целевым статьям (муниципальным</w:t>
      </w:r>
    </w:p>
    <w:p w:rsidR="008A4D8E" w:rsidRDefault="003144D3" w:rsidP="0051137B">
      <w:pPr>
        <w:widowControl w:val="0"/>
        <w:tabs>
          <w:tab w:val="center" w:pos="7732"/>
        </w:tabs>
        <w:autoSpaceDE w:val="0"/>
        <w:autoSpaceDN w:val="0"/>
        <w:adjustRightInd w:val="0"/>
        <w:spacing w:before="17"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программам Миллеровского городского поселения и непрограммным направлениям</w:t>
      </w:r>
    </w:p>
    <w:p w:rsidR="008A4D8E" w:rsidRDefault="003144D3" w:rsidP="0051137B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1"/>
          <w:szCs w:val="31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деятельности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),  группам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(подгруппам) видов расходов классификации</w:t>
      </w:r>
    </w:p>
    <w:p w:rsidR="008A4D8E" w:rsidRDefault="003144D3" w:rsidP="0051137B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расходов бюджета Миллеровского городского поселения Миллеровского района на 2014 год</w:t>
      </w:r>
    </w:p>
    <w:p w:rsidR="005E1D5F" w:rsidRDefault="005E1D5F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E1D5F" w:rsidRDefault="0051137B" w:rsidP="0051137B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1137B">
        <w:rPr>
          <w:rFonts w:ascii="Times New Roman" w:eastAsia="Times New Roman" w:hAnsi="Times New Roman" w:cs="Times New Roman"/>
          <w:b/>
          <w:bCs/>
          <w:sz w:val="28"/>
          <w:szCs w:val="28"/>
        </w:rPr>
        <w:t>(тыс. рублей)</w:t>
      </w:r>
    </w:p>
    <w:tbl>
      <w:tblPr>
        <w:tblW w:w="10910" w:type="dxa"/>
        <w:tblInd w:w="113" w:type="dxa"/>
        <w:tblLook w:val="04A0" w:firstRow="1" w:lastRow="0" w:firstColumn="1" w:lastColumn="0" w:noHBand="0" w:noVBand="1"/>
      </w:tblPr>
      <w:tblGrid>
        <w:gridCol w:w="5665"/>
        <w:gridCol w:w="605"/>
        <w:gridCol w:w="605"/>
        <w:gridCol w:w="1483"/>
        <w:gridCol w:w="823"/>
        <w:gridCol w:w="1729"/>
      </w:tblGrid>
      <w:tr w:rsidR="00FC03BE" w:rsidRPr="00FC03BE" w:rsidTr="00FC03BE">
        <w:trPr>
          <w:trHeight w:val="375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3BE" w:rsidRPr="00FC03BE" w:rsidRDefault="00FC03BE" w:rsidP="00FC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3BE" w:rsidRPr="00FC03BE" w:rsidRDefault="00FC03BE" w:rsidP="00FC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FC0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3BE" w:rsidRPr="00FC03BE" w:rsidRDefault="00FC03BE" w:rsidP="00FC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3BE" w:rsidRPr="00FC03BE" w:rsidRDefault="00FC03BE" w:rsidP="00FC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3BE" w:rsidRPr="00FC03BE" w:rsidRDefault="00FC03BE" w:rsidP="00FC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03BE" w:rsidRPr="00FC03BE" w:rsidRDefault="00FC03BE" w:rsidP="00FC0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Сумма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307 172.3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20 558.9</w:t>
            </w:r>
          </w:p>
        </w:tc>
      </w:tr>
      <w:tr w:rsidR="00FC03BE" w:rsidRPr="00FC03BE" w:rsidTr="00FC03BE">
        <w:trPr>
          <w:trHeight w:val="7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829.7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829.7</w:t>
            </w:r>
          </w:p>
        </w:tc>
      </w:tr>
      <w:tr w:rsidR="00FC03BE" w:rsidRPr="00FC03BE" w:rsidTr="00FC03BE">
        <w:trPr>
          <w:trHeight w:val="11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360.8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351.2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9.6</w:t>
            </w:r>
          </w:p>
        </w:tc>
      </w:tr>
      <w:tr w:rsidR="00FC03BE" w:rsidRPr="00FC03BE" w:rsidTr="00FC03BE">
        <w:trPr>
          <w:trHeight w:val="11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14 272.4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01 2 0011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10 126.6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143.1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3 414.8</w:t>
            </w:r>
          </w:p>
        </w:tc>
      </w:tr>
      <w:tr w:rsidR="00FC03BE" w:rsidRPr="00FC03BE" w:rsidTr="00FC03BE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Миллеровского городского поселения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01 2 0019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13.1</w:t>
            </w:r>
          </w:p>
        </w:tc>
      </w:tr>
      <w:tr w:rsidR="00FC03BE" w:rsidRPr="00FC03BE" w:rsidTr="00FC03BE">
        <w:trPr>
          <w:trHeight w:val="45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Субвенция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01 2 7239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0.2</w:t>
            </w:r>
          </w:p>
        </w:tc>
      </w:tr>
      <w:tr w:rsidR="00FC03BE" w:rsidRPr="00FC03BE" w:rsidTr="00FC03BE">
        <w:trPr>
          <w:trHeight w:val="78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Миллеровского городского поселения по принятию участия в подготовке на основе генеральных планов поселения документации по планировке территории,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поселения; подготовке местных нормативов градостроительного проектирования поселений, подготовке, утверждению и выдаче градостроительных планов земельных участков, согласованию переустройства и перепланировки жилых помещений, установлению и изменению адресов и адресных ориентиров объектам адресации, расположенным на территории поселения; обеспечению реализации документов территориального планирования (генерального плана поселения), правил землепользования и застройки поселения, осуществлению контроля за их выполнением в рамках непрограммных расходов органов </w:t>
            </w: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местного самоуправления Миллеровского городского поселения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99 9 8904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574.6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115.0</w:t>
            </w:r>
          </w:p>
        </w:tc>
      </w:tr>
      <w:tr w:rsidR="00FC03BE" w:rsidRPr="00FC03BE" w:rsidTr="00FC03BE">
        <w:trPr>
          <w:trHeight w:val="18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(Резервные средства)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870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115.0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4 981.0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01 2 2915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3 810.0</w:t>
            </w:r>
          </w:p>
        </w:tc>
      </w:tr>
      <w:tr w:rsidR="00FC03BE" w:rsidRPr="00FC03BE" w:rsidTr="00FC03BE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301.3</w:t>
            </w:r>
          </w:p>
        </w:tc>
      </w:tr>
      <w:tr w:rsidR="00FC03BE" w:rsidRPr="00FC03BE" w:rsidTr="00FC03BE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122.2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01 2 9999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448.1</w:t>
            </w:r>
          </w:p>
        </w:tc>
      </w:tr>
      <w:tr w:rsidR="00FC03BE" w:rsidRPr="00FC03BE" w:rsidTr="00FC03BE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Погашение кредиторской задолженности по иным непрограммным мероприятиям в рамках </w:t>
            </w: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</w:t>
            </w: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99 9 2924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14.9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Финансовое обеспечение мероприятий по временному социально-бытовому обустройству </w:t>
            </w:r>
            <w:proofErr w:type="spellStart"/>
            <w:proofErr w:type="gram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лиц,вынужденно</w:t>
            </w:r>
            <w:proofErr w:type="spellEnd"/>
            <w:proofErr w:type="gram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покинувших территорию Украины и находящихся в пунктах временного размещения в рамках непрограммных расходов органов местного самоуправления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99 9 5224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284.5</w:t>
            </w:r>
          </w:p>
        </w:tc>
      </w:tr>
      <w:tr w:rsidR="00FC03BE" w:rsidRPr="00FC03BE" w:rsidTr="00FC03BE">
        <w:trPr>
          <w:trHeight w:val="7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3 249.6</w:t>
            </w:r>
          </w:p>
        </w:tc>
      </w:tr>
      <w:tr w:rsidR="00FC03BE" w:rsidRPr="00FC03BE" w:rsidTr="00FC03BE">
        <w:trPr>
          <w:trHeight w:val="7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3 249.6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созданию, содержанию и организации деятельности аварийно-спасательных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03 1 8901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1 515.9</w:t>
            </w:r>
          </w:p>
        </w:tc>
      </w:tr>
      <w:tr w:rsidR="00FC03BE" w:rsidRPr="00FC03BE" w:rsidTr="00FC03BE">
        <w:trPr>
          <w:trHeight w:val="37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03 2 8902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136.8</w:t>
            </w:r>
          </w:p>
        </w:tc>
      </w:tr>
      <w:tr w:rsidR="00FC03BE" w:rsidRPr="00FC03BE" w:rsidTr="00FC03BE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обеспечению безопасности людей на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03 3 2916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30.0</w:t>
            </w:r>
          </w:p>
        </w:tc>
      </w:tr>
      <w:tr w:rsidR="00FC03BE" w:rsidRPr="00FC03BE" w:rsidTr="00FC03BE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975.0</w:t>
            </w:r>
          </w:p>
        </w:tc>
      </w:tr>
      <w:tr w:rsidR="00FC03BE" w:rsidRPr="00FC03BE" w:rsidTr="00FC03BE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в </w:t>
            </w: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соответствиис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распоряжением Правительства Российской Федерации от 21 июня 2014 года №1109-р в рамках непрограммного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99 9 7111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591.9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42 936.3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Воспроизводство минерально-сырьевой базы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2 534.0</w:t>
            </w:r>
          </w:p>
        </w:tc>
      </w:tr>
      <w:tr w:rsidR="00FC03BE" w:rsidRPr="00FC03BE" w:rsidTr="00FC03BE">
        <w:trPr>
          <w:trHeight w:val="45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</w:t>
            </w: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расходных обязательств, возникающих при выполнении полномочий органов местного самоуправления на обеспечение водоснабжения населения, мероприятия по переоценке, оценке или разведке запасов подземных вод на эксплуатируемых муниципальными образованиями участках недр в рамках подпрограммы «Развитие и использование минерально-сырьевой базы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12 2 2973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264.2</w:t>
            </w:r>
          </w:p>
        </w:tc>
      </w:tr>
      <w:tr w:rsidR="00FC03BE" w:rsidRPr="00FC03BE" w:rsidTr="00FC03BE">
        <w:trPr>
          <w:trHeight w:val="41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Расходные обязательства, возникающие при выполнении полномочий органов местного самоуправления на обеспечение водоснабжения населения, мероприятия по переоценке, оценке или разведке запасов подземных вод на эксплуатируемых муниципальными образованиями участках недр в рамках подпрограммы «Развитие и использование минерально-сырьевой базы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12 2 7334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1 722.0</w:t>
            </w:r>
          </w:p>
        </w:tc>
      </w:tr>
      <w:tr w:rsidR="00FC03BE" w:rsidRPr="00FC03BE" w:rsidTr="00FC03BE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99 9 7107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547.8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Лесное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129.3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Мероприятия в области лесного хозяйства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12 3 2921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129.3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Дорожное хозяйство (дорожные фонды)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40 273.0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04 1 2901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17 003.2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текущий ремонт внутригородских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04 1 2902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2 805.7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проектированию автомобильных дорог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04 1 2920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516.1</w:t>
            </w:r>
          </w:p>
        </w:tc>
      </w:tr>
      <w:tr w:rsidR="00FC03BE" w:rsidRPr="00FC03BE" w:rsidTr="00FC03BE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ремонт и содержание автомобильных дорог общего пользования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04 1 2980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471.0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04 1 2983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571.3</w:t>
            </w:r>
          </w:p>
        </w:tc>
      </w:tr>
      <w:tr w:rsidR="00FC03BE" w:rsidRPr="00FC03BE" w:rsidTr="00FC03BE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строительство объектов социального и производственного комплексов, в том числе объектов общегражданского назначения, жилья,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04 1 4037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3 546.8</w:t>
            </w:r>
          </w:p>
        </w:tc>
      </w:tr>
      <w:tr w:rsidR="00FC03BE" w:rsidRPr="00FC03BE" w:rsidTr="00FC03BE">
        <w:trPr>
          <w:trHeight w:val="37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погашение кредиторской задолженности по осуществлению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04 1 7109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1 629.8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разработку проектно-сметной документации по капитальному ремонту, строительству и реконструкции муниципальных объектов транспортной инфраструктуры Миллеровского городского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04 1 7347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7 147.1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04 1 7351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5 893.0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по нанесению дорожной разметки и установке дорожных знаков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04 2 2917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689.0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ЖИЛИЩНО-КОММУНАЛЬНОЕ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209 914.0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9 067.2</w:t>
            </w:r>
          </w:p>
        </w:tc>
      </w:tr>
      <w:tr w:rsidR="00FC03BE" w:rsidRPr="00FC03BE" w:rsidTr="00FC03BE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05 1 2905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214.6</w:t>
            </w:r>
          </w:p>
        </w:tc>
      </w:tr>
      <w:tr w:rsidR="00FC03BE" w:rsidRPr="00FC03BE" w:rsidTr="00FC03BE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в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05 1 2905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4 586.0</w:t>
            </w:r>
          </w:p>
        </w:tc>
      </w:tr>
      <w:tr w:rsidR="00FC03BE" w:rsidRPr="00FC03BE" w:rsidTr="00FC03BE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Миллеровского городского поселения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99 1 9207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300.0</w:t>
            </w:r>
          </w:p>
        </w:tc>
      </w:tr>
      <w:tr w:rsidR="00FC03BE" w:rsidRPr="00FC03BE" w:rsidTr="00FC03BE">
        <w:trPr>
          <w:trHeight w:val="18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погашение кредиторской задолженности по иным непрограммным мероприятиям в рамках </w:t>
            </w: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99 9 2983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293.6</w:t>
            </w:r>
          </w:p>
        </w:tc>
      </w:tr>
      <w:tr w:rsidR="00FC03BE" w:rsidRPr="00FC03BE" w:rsidTr="00FC03BE">
        <w:trPr>
          <w:trHeight w:val="18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99 9 7107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3 673.0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172 827.6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»</w:t>
            </w:r>
            <w:proofErr w:type="gram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2 225.1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»</w:t>
            </w:r>
            <w:proofErr w:type="gram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760.8</w:t>
            </w:r>
          </w:p>
        </w:tc>
      </w:tr>
      <w:tr w:rsidR="00FC03BE" w:rsidRPr="00FC03BE" w:rsidTr="00FC03BE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»</w:t>
            </w:r>
            <w:proofErr w:type="gram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05 2 2906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78.0</w:t>
            </w:r>
          </w:p>
        </w:tc>
      </w:tr>
      <w:tr w:rsidR="00FC03BE" w:rsidRPr="00FC03BE" w:rsidTr="00FC03BE">
        <w:trPr>
          <w:trHeight w:val="37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»</w:t>
            </w:r>
            <w:proofErr w:type="gram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05 2 2977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8 433.1</w:t>
            </w:r>
          </w:p>
        </w:tc>
      </w:tr>
      <w:tr w:rsidR="00FC03BE" w:rsidRPr="00FC03BE" w:rsidTr="00FC03BE">
        <w:trPr>
          <w:trHeight w:val="41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05 2 2981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52.5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05 2 4037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1 150.0</w:t>
            </w:r>
          </w:p>
        </w:tc>
      </w:tr>
      <w:tr w:rsidR="00FC03BE" w:rsidRPr="00FC03BE" w:rsidTr="00FC03BE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Расходы на строительство и реконструкцию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поселения »</w:t>
            </w:r>
            <w:proofErr w:type="gram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05 2 7319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410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14 389.8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капитальный ремонт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05 2 7321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105 527.5</w:t>
            </w:r>
          </w:p>
        </w:tc>
      </w:tr>
      <w:tr w:rsidR="00FC03BE" w:rsidRPr="00FC03BE" w:rsidTr="00FC03BE">
        <w:trPr>
          <w:trHeight w:val="37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05 2 7366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655.1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развитие материальной базы муниципальных образований в сфере обращения с твердыми бытовыми отходами, включая приобретение мусоровозов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12 1 2975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199.8</w:t>
            </w:r>
          </w:p>
        </w:tc>
      </w:tr>
      <w:tr w:rsidR="00FC03BE" w:rsidRPr="00FC03BE" w:rsidTr="00FC03BE">
        <w:trPr>
          <w:trHeight w:val="37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развитие материальной базы муниципальных образований в сфере обращения с твердыми бытовыми отходами, включая приобретение бункеров (бункеров накопителей) для сбора твердых бытовых отходов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12 1 2984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37.7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развитие материальной базы муниципальных образований в сфере обращения с твердыми бытовыми отходами, включая приобретение мусоровозов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12 1 7338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2 500.2</w:t>
            </w:r>
          </w:p>
        </w:tc>
      </w:tr>
      <w:tr w:rsidR="00FC03BE" w:rsidRPr="00FC03BE" w:rsidTr="00FC03BE">
        <w:trPr>
          <w:trHeight w:val="37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развитие материальной базы муниципальных образований в сфере обращения с твердыми бытовыми отходами, включая приобретение бункеров (бункеров накопителей) для сбора твердых бытовых отходов в рамках подпрограммы «Охрана окружающей среды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12 1 7339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471.5</w:t>
            </w:r>
          </w:p>
        </w:tc>
      </w:tr>
      <w:tr w:rsidR="00FC03BE" w:rsidRPr="00FC03BE" w:rsidTr="00FC03BE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99 9 7107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36 226.6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99 9 7107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119.9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26 786.3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05 3 2907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10 362.6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05 3 2908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5 732.4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05 3 2909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2 382.0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05 3 2910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7 809.3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05 3 2910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810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300.0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капитальный ремонт сетей уличного освещения в рамках подпрограммы «</w:t>
            </w:r>
            <w:proofErr w:type="gram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Благоустройство »</w:t>
            </w:r>
            <w:proofErr w:type="gram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05 3 2922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200.0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1 232.9</w:t>
            </w:r>
          </w:p>
        </w:tc>
      </w:tr>
      <w:tr w:rsidR="00FC03BE" w:rsidRPr="00FC03BE" w:rsidTr="00FC03BE">
        <w:trPr>
          <w:trHeight w:val="3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созданию условий для предоставления транспортных услуг </w:t>
            </w:r>
            <w:proofErr w:type="gram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населению</w:t>
            </w:r>
            <w:proofErr w:type="gram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04 1 8903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407.3</w:t>
            </w:r>
          </w:p>
        </w:tc>
      </w:tr>
      <w:tr w:rsidR="00FC03BE" w:rsidRPr="00FC03BE" w:rsidTr="00FC03BE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автономных учреждений Миллеровского городского поселения Миллеровского района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05 3 0059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825.6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13 606.2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13 606.2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08 1 0059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5 004.1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08 1 2914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105.7</w:t>
            </w:r>
          </w:p>
        </w:tc>
      </w:tr>
      <w:tr w:rsidR="00FC03BE" w:rsidRPr="00FC03BE" w:rsidTr="00FC03BE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08 1 2914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462.9</w:t>
            </w:r>
          </w:p>
        </w:tc>
      </w:tr>
      <w:tr w:rsidR="00FC03BE" w:rsidRPr="00FC03BE" w:rsidTr="00FC03BE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Миллеровского городского поселения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08 2 0059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2 260.9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Миллеровского городского поселения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им.Романенко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08 3 0059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4 390.8</w:t>
            </w:r>
          </w:p>
        </w:tc>
      </w:tr>
      <w:tr w:rsidR="00FC03BE" w:rsidRPr="00FC03BE" w:rsidTr="00FC03BE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проектирование по ремонту памятников в рамках подпрограммы "Развитие культурной деятельности на территории Миллеровского городского поселения" муниципальной программы Миллеровского городского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08 4 2923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50.0</w:t>
            </w:r>
          </w:p>
        </w:tc>
      </w:tr>
      <w:tr w:rsidR="00FC03BE" w:rsidRPr="00FC03BE" w:rsidTr="00FC03BE">
        <w:trPr>
          <w:trHeight w:val="18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Резервный фонд Правительства Ростовской области на финансовое обеспечение непредвиденных расходов в рамках непрограммных расходов органов местного самоуправления Миллеровского городского поселения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99 1 9010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226.0</w:t>
            </w:r>
          </w:p>
        </w:tc>
      </w:tr>
      <w:tr w:rsidR="00FC03BE" w:rsidRPr="00FC03BE" w:rsidTr="00FC03BE">
        <w:trPr>
          <w:trHeight w:val="15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Резервный фонд Администрации Миллеровского района на финансовое обеспечение непредвиденных расходов в рамках непрограммных расходов органов местного самоуправления Миллеровского района (Субсидии автономным учреждениям)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99 1 9201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620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54.4</w:t>
            </w:r>
          </w:p>
        </w:tc>
      </w:tr>
      <w:tr w:rsidR="00FC03BE" w:rsidRPr="00FC03BE" w:rsidTr="00FC03BE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Погашение кредиторской задолженности по иным непрограммным мероприятиям в рамках </w:t>
            </w: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99 9 2924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1 051.4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16 131.6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16 131.6</w:t>
            </w:r>
          </w:p>
        </w:tc>
      </w:tr>
      <w:tr w:rsidR="00FC03BE" w:rsidRPr="00FC03BE" w:rsidTr="00FC03BE">
        <w:trPr>
          <w:trHeight w:val="37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</w:t>
            </w: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городскогопоселения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10 2 2976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523.7</w:t>
            </w:r>
          </w:p>
        </w:tc>
      </w:tr>
      <w:tr w:rsidR="00FC03BE" w:rsidRPr="00FC03BE" w:rsidTr="00FC03BE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Софинансирование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10 2 2978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146.8</w:t>
            </w:r>
          </w:p>
        </w:tc>
      </w:tr>
      <w:tr w:rsidR="00FC03BE" w:rsidRPr="00FC03BE" w:rsidTr="00FC03BE">
        <w:trPr>
          <w:trHeight w:val="300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жильем молодых семей в Ростовской области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10 2 7314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1 819.7</w:t>
            </w:r>
          </w:p>
        </w:tc>
      </w:tr>
      <w:tr w:rsidR="00FC03BE" w:rsidRPr="00FC03BE" w:rsidTr="00FC03BE">
        <w:trPr>
          <w:trHeight w:val="37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обеспечение мероприятий по переселению граждан из многоквартирного аварийного жилищного фонда, признанного непригодным для проживания, аварийным и подлежащим сносу или реконструкции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10 2 7316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6 553.1</w:t>
            </w:r>
          </w:p>
        </w:tc>
      </w:tr>
      <w:tr w:rsidR="00FC03BE" w:rsidRPr="00FC03BE" w:rsidTr="00FC03BE">
        <w:trPr>
          <w:trHeight w:val="18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на обеспечение жильем молодых семей в Ростовской области в рамках непрограммных расходов органов местного самоуправления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99 9 2985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50.0</w:t>
            </w:r>
          </w:p>
        </w:tc>
      </w:tr>
      <w:tr w:rsidR="00FC03BE" w:rsidRPr="00FC03BE" w:rsidTr="00FC03BE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Расходы на мероприятия подпрограммы "Обеспечение жильем молодых семей" федеральной целевой программы "Жилище на 2011-2015 годы в рамках непрограммных расходов органов местного самоуправления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99 9 5020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35.4</w:t>
            </w:r>
          </w:p>
        </w:tc>
      </w:tr>
      <w:tr w:rsidR="00FC03BE" w:rsidRPr="00FC03BE" w:rsidTr="00FC03BE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погашение кредиторской задолженности по иным непрограммным мероприятиям в рамках </w:t>
            </w: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непрограммого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направления деятельности "Реализация функций органов местного самоуправления Миллеровского городского поселения"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99 9 7107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6 416.4</w:t>
            </w:r>
          </w:p>
        </w:tc>
      </w:tr>
      <w:tr w:rsidR="00FC03BE" w:rsidRPr="00FC03BE" w:rsidTr="00FC03BE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обеспечение жильем молодых семей в Ростовской области за счет средств областного бюджета на </w:t>
            </w:r>
            <w:proofErr w:type="spellStart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софинансирование</w:t>
            </w:r>
            <w:proofErr w:type="spellEnd"/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расходов федерального бюджета в рамках непрограммных расходов органов местного самоуправления Миллеровского городского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99 9 7375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320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586.5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775.7</w:t>
            </w:r>
          </w:p>
        </w:tc>
      </w:tr>
      <w:tr w:rsidR="00FC03BE" w:rsidRPr="00FC03BE" w:rsidTr="00FC03BE">
        <w:trPr>
          <w:trHeight w:val="37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775.7</w:t>
            </w:r>
          </w:p>
        </w:tc>
      </w:tr>
      <w:tr w:rsidR="00FC03BE" w:rsidRPr="00FC03BE" w:rsidTr="00FC03BE">
        <w:trPr>
          <w:trHeight w:val="2250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06 1 2913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250.0</w:t>
            </w:r>
          </w:p>
        </w:tc>
      </w:tr>
      <w:tr w:rsidR="00FC03BE" w:rsidRPr="00FC03BE" w:rsidTr="00FC03BE">
        <w:trPr>
          <w:trHeight w:val="2625"/>
        </w:trPr>
        <w:tc>
          <w:tcPr>
            <w:tcW w:w="5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</w:t>
            </w: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06 1 2918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03BE" w:rsidRPr="00FC03BE" w:rsidRDefault="00FC03BE" w:rsidP="00FC03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03BE">
              <w:rPr>
                <w:rFonts w:ascii="Times New Roman" w:eastAsia="Times New Roman" w:hAnsi="Times New Roman" w:cs="Times New Roman"/>
                <w:sz w:val="28"/>
                <w:szCs w:val="28"/>
              </w:rPr>
              <w:t>525.7</w:t>
            </w:r>
          </w:p>
        </w:tc>
      </w:tr>
    </w:tbl>
    <w:p w:rsidR="00C01F39" w:rsidRDefault="00C01F39">
      <w:pPr>
        <w:widowControl w:val="0"/>
        <w:tabs>
          <w:tab w:val="center" w:pos="77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C01F39" w:rsidSect="005E1D5F">
      <w:pgSz w:w="11904" w:h="16834" w:code="9"/>
      <w:pgMar w:top="567" w:right="567" w:bottom="851" w:left="425" w:header="720" w:footer="72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0EEE"/>
    <w:rsid w:val="00006D44"/>
    <w:rsid w:val="00011B0D"/>
    <w:rsid w:val="00021B00"/>
    <w:rsid w:val="00032C80"/>
    <w:rsid w:val="00032F21"/>
    <w:rsid w:val="000828C6"/>
    <w:rsid w:val="00084471"/>
    <w:rsid w:val="00097350"/>
    <w:rsid w:val="000A0654"/>
    <w:rsid w:val="000C5730"/>
    <w:rsid w:val="000E71BF"/>
    <w:rsid w:val="00114D6E"/>
    <w:rsid w:val="00122380"/>
    <w:rsid w:val="00123AF0"/>
    <w:rsid w:val="001337EE"/>
    <w:rsid w:val="0018352D"/>
    <w:rsid w:val="00184465"/>
    <w:rsid w:val="001851AB"/>
    <w:rsid w:val="001A4CA8"/>
    <w:rsid w:val="001D180B"/>
    <w:rsid w:val="00200300"/>
    <w:rsid w:val="002154F0"/>
    <w:rsid w:val="002214F8"/>
    <w:rsid w:val="00273DFF"/>
    <w:rsid w:val="00290823"/>
    <w:rsid w:val="002F163A"/>
    <w:rsid w:val="003137F8"/>
    <w:rsid w:val="003144D3"/>
    <w:rsid w:val="003521E9"/>
    <w:rsid w:val="003E6610"/>
    <w:rsid w:val="004151B0"/>
    <w:rsid w:val="0042734A"/>
    <w:rsid w:val="004E07FA"/>
    <w:rsid w:val="004F10FC"/>
    <w:rsid w:val="0051137B"/>
    <w:rsid w:val="005231C1"/>
    <w:rsid w:val="00530EEE"/>
    <w:rsid w:val="00545B12"/>
    <w:rsid w:val="005765AB"/>
    <w:rsid w:val="005E1079"/>
    <w:rsid w:val="005E1D5F"/>
    <w:rsid w:val="00615391"/>
    <w:rsid w:val="006228F7"/>
    <w:rsid w:val="00642440"/>
    <w:rsid w:val="00643C39"/>
    <w:rsid w:val="00656485"/>
    <w:rsid w:val="00674644"/>
    <w:rsid w:val="006A1B32"/>
    <w:rsid w:val="006A2600"/>
    <w:rsid w:val="006C7D62"/>
    <w:rsid w:val="00751775"/>
    <w:rsid w:val="00771598"/>
    <w:rsid w:val="00811148"/>
    <w:rsid w:val="00833680"/>
    <w:rsid w:val="00864A88"/>
    <w:rsid w:val="008A4D8E"/>
    <w:rsid w:val="008B54D5"/>
    <w:rsid w:val="008D1BEE"/>
    <w:rsid w:val="008E4CB5"/>
    <w:rsid w:val="008F7DD3"/>
    <w:rsid w:val="00903B1C"/>
    <w:rsid w:val="00950BDD"/>
    <w:rsid w:val="009722A6"/>
    <w:rsid w:val="0098541D"/>
    <w:rsid w:val="00991FFB"/>
    <w:rsid w:val="009A6FD7"/>
    <w:rsid w:val="009E117C"/>
    <w:rsid w:val="00A31A3B"/>
    <w:rsid w:val="00A348E0"/>
    <w:rsid w:val="00A6209C"/>
    <w:rsid w:val="00A71C65"/>
    <w:rsid w:val="00A71EBE"/>
    <w:rsid w:val="00AB3F80"/>
    <w:rsid w:val="00AC39A1"/>
    <w:rsid w:val="00B234CB"/>
    <w:rsid w:val="00B26A8B"/>
    <w:rsid w:val="00B462FA"/>
    <w:rsid w:val="00B82B61"/>
    <w:rsid w:val="00BA650E"/>
    <w:rsid w:val="00BD3B8F"/>
    <w:rsid w:val="00C01F39"/>
    <w:rsid w:val="00C06ECB"/>
    <w:rsid w:val="00C16C03"/>
    <w:rsid w:val="00CC1C99"/>
    <w:rsid w:val="00D36A41"/>
    <w:rsid w:val="00D63669"/>
    <w:rsid w:val="00D65C63"/>
    <w:rsid w:val="00D96F31"/>
    <w:rsid w:val="00DB0131"/>
    <w:rsid w:val="00DC15D5"/>
    <w:rsid w:val="00DE1AC8"/>
    <w:rsid w:val="00DF05B0"/>
    <w:rsid w:val="00DF0CB7"/>
    <w:rsid w:val="00DF1433"/>
    <w:rsid w:val="00E161C6"/>
    <w:rsid w:val="00E21BDA"/>
    <w:rsid w:val="00E4722F"/>
    <w:rsid w:val="00EF3E9C"/>
    <w:rsid w:val="00EF6945"/>
    <w:rsid w:val="00EF69E8"/>
    <w:rsid w:val="00F306C6"/>
    <w:rsid w:val="00F44D1C"/>
    <w:rsid w:val="00F51459"/>
    <w:rsid w:val="00F76B19"/>
    <w:rsid w:val="00F77A86"/>
    <w:rsid w:val="00F85B09"/>
    <w:rsid w:val="00F9166B"/>
    <w:rsid w:val="00FC03BE"/>
    <w:rsid w:val="00FF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3AE9CC56-C4E4-472B-9B0B-64DE16CC6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D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54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54F0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67464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674644"/>
    <w:rPr>
      <w:color w:val="800080"/>
      <w:u w:val="single"/>
    </w:rPr>
  </w:style>
  <w:style w:type="paragraph" w:customStyle="1" w:styleId="xl65">
    <w:name w:val="xl65"/>
    <w:basedOn w:val="a"/>
    <w:rsid w:val="00674644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6">
    <w:name w:val="xl66"/>
    <w:basedOn w:val="a"/>
    <w:rsid w:val="00674644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7">
    <w:name w:val="xl67"/>
    <w:basedOn w:val="a"/>
    <w:rsid w:val="006746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6746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69">
    <w:name w:val="xl69"/>
    <w:basedOn w:val="a"/>
    <w:rsid w:val="006746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674644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674644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674644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"/>
    <w:rsid w:val="005E1D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9312A-F320-4992-85BD-3FF0F975C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25</Pages>
  <Words>5642</Words>
  <Characters>32166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АИСБП</cp:lastModifiedBy>
  <cp:revision>74</cp:revision>
  <cp:lastPrinted>2014-04-29T08:24:00Z</cp:lastPrinted>
  <dcterms:created xsi:type="dcterms:W3CDTF">2014-02-05T07:23:00Z</dcterms:created>
  <dcterms:modified xsi:type="dcterms:W3CDTF">2014-11-10T14:44:00Z</dcterms:modified>
</cp:coreProperties>
</file>