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A7C" w:rsidRDefault="00A20358" w:rsidP="00A00A7C">
      <w:pPr>
        <w:widowControl w:val="0"/>
        <w:tabs>
          <w:tab w:val="right" w:pos="10605"/>
        </w:tabs>
        <w:autoSpaceDE w:val="0"/>
        <w:autoSpaceDN w:val="0"/>
        <w:adjustRightInd w:val="0"/>
        <w:spacing w:after="0" w:line="240" w:lineRule="auto"/>
        <w:jc w:val="right"/>
        <w:rPr>
          <w:rFonts w:ascii="Times New Roman" w:hAnsi="Times New Roman" w:cs="Times New Roman"/>
          <w:color w:val="000000"/>
          <w:sz w:val="18"/>
          <w:szCs w:val="18"/>
        </w:rPr>
      </w:pPr>
      <w:r>
        <w:rPr>
          <w:rFonts w:ascii="MS Sans Serif" w:hAnsi="MS Sans Serif"/>
          <w:sz w:val="24"/>
          <w:szCs w:val="24"/>
        </w:rPr>
        <w:tab/>
      </w:r>
      <w:r w:rsidR="00A00A7C">
        <w:rPr>
          <w:rFonts w:ascii="Times New Roman" w:hAnsi="Times New Roman" w:cs="Times New Roman"/>
          <w:color w:val="000000"/>
          <w:sz w:val="18"/>
          <w:szCs w:val="18"/>
        </w:rPr>
        <w:t xml:space="preserve">Приложение </w:t>
      </w:r>
      <w:r w:rsidR="00261EDE">
        <w:rPr>
          <w:rFonts w:ascii="Times New Roman" w:hAnsi="Times New Roman" w:cs="Times New Roman"/>
          <w:color w:val="000000"/>
          <w:sz w:val="18"/>
          <w:szCs w:val="18"/>
        </w:rPr>
        <w:t>2</w:t>
      </w:r>
    </w:p>
    <w:p w:rsidR="00A00A7C" w:rsidRDefault="00A00A7C" w:rsidP="00A00A7C">
      <w:pPr>
        <w:widowControl w:val="0"/>
        <w:tabs>
          <w:tab w:val="right" w:pos="10605"/>
        </w:tabs>
        <w:autoSpaceDE w:val="0"/>
        <w:autoSpaceDN w:val="0"/>
        <w:adjustRightInd w:val="0"/>
        <w:spacing w:after="0" w:line="240" w:lineRule="auto"/>
        <w:jc w:val="right"/>
        <w:rPr>
          <w:rFonts w:ascii="Times New Roman" w:hAnsi="Times New Roman" w:cs="Times New Roman"/>
          <w:color w:val="000000"/>
          <w:sz w:val="19"/>
          <w:szCs w:val="19"/>
        </w:rPr>
      </w:pPr>
      <w:r>
        <w:rPr>
          <w:rFonts w:ascii="Times New Roman" w:hAnsi="Times New Roman" w:cs="Times New Roman"/>
          <w:color w:val="000000"/>
          <w:sz w:val="18"/>
          <w:szCs w:val="18"/>
        </w:rPr>
        <w:t>к решению Собрания депутатов Миллеровского городского поселения "О внесении изменений в решение Собрания депутатов</w:t>
      </w:r>
    </w:p>
    <w:p w:rsidR="00A00A7C" w:rsidRDefault="00A00A7C" w:rsidP="00A00A7C">
      <w:pPr>
        <w:widowControl w:val="0"/>
        <w:tabs>
          <w:tab w:val="right" w:pos="10591"/>
        </w:tabs>
        <w:autoSpaceDE w:val="0"/>
        <w:autoSpaceDN w:val="0"/>
        <w:adjustRightInd w:val="0"/>
        <w:spacing w:before="30" w:after="0" w:line="240" w:lineRule="auto"/>
        <w:jc w:val="right"/>
        <w:rPr>
          <w:rFonts w:ascii="Times New Roman" w:hAnsi="Times New Roman" w:cs="Times New Roman"/>
          <w:color w:val="000000"/>
        </w:rPr>
      </w:pPr>
      <w:r>
        <w:rPr>
          <w:rFonts w:ascii="Times New Roman" w:hAnsi="Times New Roman" w:cs="Times New Roman"/>
          <w:color w:val="000000"/>
          <w:sz w:val="18"/>
          <w:szCs w:val="18"/>
        </w:rPr>
        <w:t>Миллеровского городского поселения от 23.12.2013  № 54 "О бюджете Миллеровского городского поселения Миллеровского</w:t>
      </w:r>
    </w:p>
    <w:p w:rsidR="00A00A7C" w:rsidRDefault="00A00A7C" w:rsidP="00A00A7C">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9"/>
          <w:szCs w:val="19"/>
        </w:rPr>
      </w:pPr>
      <w:r>
        <w:rPr>
          <w:rFonts w:ascii="Times New Roman" w:hAnsi="Times New Roman" w:cs="Times New Roman"/>
          <w:color w:val="000000"/>
          <w:sz w:val="18"/>
          <w:szCs w:val="18"/>
        </w:rPr>
        <w:t>района на 2014 год и плановый период 2015 и 2016 годов"</w:t>
      </w:r>
    </w:p>
    <w:p w:rsidR="00A00A7C" w:rsidRDefault="00A00A7C" w:rsidP="00A00A7C">
      <w:pPr>
        <w:widowControl w:val="0"/>
        <w:tabs>
          <w:tab w:val="right" w:pos="10591"/>
        </w:tabs>
        <w:autoSpaceDE w:val="0"/>
        <w:autoSpaceDN w:val="0"/>
        <w:adjustRightInd w:val="0"/>
        <w:spacing w:before="618" w:after="0" w:line="240" w:lineRule="auto"/>
        <w:jc w:val="right"/>
        <w:rPr>
          <w:rFonts w:ascii="Times New Roman" w:hAnsi="Times New Roman" w:cs="Times New Roman"/>
          <w:color w:val="000000"/>
        </w:rPr>
      </w:pPr>
      <w:r>
        <w:rPr>
          <w:rFonts w:ascii="Times New Roman" w:hAnsi="Times New Roman" w:cs="Times New Roman"/>
          <w:color w:val="000000"/>
          <w:sz w:val="18"/>
          <w:szCs w:val="18"/>
        </w:rPr>
        <w:t>"Приложение 10</w:t>
      </w:r>
    </w:p>
    <w:p w:rsidR="00A00A7C" w:rsidRDefault="00A00A7C" w:rsidP="00A00A7C">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9"/>
          <w:szCs w:val="19"/>
        </w:rPr>
      </w:pPr>
      <w:r>
        <w:rPr>
          <w:rFonts w:ascii="Times New Roman" w:hAnsi="Times New Roman" w:cs="Times New Roman"/>
          <w:color w:val="000000"/>
          <w:sz w:val="18"/>
          <w:szCs w:val="18"/>
        </w:rPr>
        <w:t>к решению Собрания депутатов Миллеровского городского поселения от 23.12.2013 № 54 "О бюджете Миллеровского</w:t>
      </w:r>
    </w:p>
    <w:p w:rsidR="00A00A7C" w:rsidRDefault="00A00A7C" w:rsidP="00A00A7C">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8"/>
          <w:szCs w:val="18"/>
        </w:rPr>
      </w:pPr>
      <w:r>
        <w:rPr>
          <w:rFonts w:ascii="Times New Roman" w:hAnsi="Times New Roman" w:cs="Times New Roman"/>
          <w:color w:val="000000"/>
          <w:sz w:val="18"/>
          <w:szCs w:val="18"/>
        </w:rPr>
        <w:t>городского поселения Миллеровского района на 2014 год и плановый период 2015 и 2016 годов"</w:t>
      </w:r>
    </w:p>
    <w:p w:rsidR="00A00A7C" w:rsidRDefault="00A00A7C" w:rsidP="00A00A7C">
      <w:pPr>
        <w:widowControl w:val="0"/>
        <w:tabs>
          <w:tab w:val="right" w:pos="10591"/>
        </w:tabs>
        <w:autoSpaceDE w:val="0"/>
        <w:autoSpaceDN w:val="0"/>
        <w:adjustRightInd w:val="0"/>
        <w:spacing w:after="0" w:line="240" w:lineRule="auto"/>
        <w:jc w:val="right"/>
        <w:rPr>
          <w:rFonts w:ascii="Times New Roman" w:hAnsi="Times New Roman" w:cs="Times New Roman"/>
          <w:color w:val="000000"/>
          <w:sz w:val="18"/>
          <w:szCs w:val="18"/>
        </w:rPr>
      </w:pPr>
    </w:p>
    <w:p w:rsidR="00A00A7C" w:rsidRDefault="00A00A7C" w:rsidP="00A00A7C">
      <w:pPr>
        <w:widowControl w:val="0"/>
        <w:tabs>
          <w:tab w:val="right" w:pos="10591"/>
        </w:tabs>
        <w:autoSpaceDE w:val="0"/>
        <w:autoSpaceDN w:val="0"/>
        <w:adjustRightInd w:val="0"/>
        <w:spacing w:after="0" w:line="240" w:lineRule="auto"/>
        <w:jc w:val="center"/>
        <w:rPr>
          <w:rFonts w:ascii="Times New Roman" w:hAnsi="Times New Roman" w:cs="Times New Roman"/>
          <w:b/>
          <w:bCs/>
          <w:color w:val="000000"/>
          <w:sz w:val="34"/>
          <w:szCs w:val="34"/>
        </w:rPr>
      </w:pPr>
      <w:r>
        <w:rPr>
          <w:rFonts w:ascii="Times New Roman" w:hAnsi="Times New Roman" w:cs="Times New Roman"/>
          <w:b/>
          <w:bCs/>
          <w:color w:val="000000"/>
          <w:sz w:val="28"/>
          <w:szCs w:val="28"/>
        </w:rPr>
        <w:t>Ведомственная структура расходов</w:t>
      </w:r>
    </w:p>
    <w:p w:rsidR="00A00A7C" w:rsidRDefault="00A00A7C" w:rsidP="00A00A7C">
      <w:pPr>
        <w:widowControl w:val="0"/>
        <w:tabs>
          <w:tab w:val="center" w:pos="7792"/>
        </w:tabs>
        <w:autoSpaceDE w:val="0"/>
        <w:autoSpaceDN w:val="0"/>
        <w:adjustRightInd w:val="0"/>
        <w:spacing w:after="0" w:line="240" w:lineRule="auto"/>
        <w:rPr>
          <w:rFonts w:ascii="Times New Roman" w:hAnsi="Times New Roman" w:cs="Times New Roman"/>
          <w:b/>
          <w:bCs/>
          <w:color w:val="000000"/>
          <w:sz w:val="31"/>
          <w:szCs w:val="31"/>
        </w:rPr>
      </w:pPr>
      <w:r>
        <w:rPr>
          <w:rFonts w:ascii="MS Sans Serif" w:hAnsi="MS Sans Serif"/>
          <w:sz w:val="24"/>
          <w:szCs w:val="24"/>
        </w:rPr>
        <w:tab/>
      </w:r>
      <w:r>
        <w:rPr>
          <w:rFonts w:ascii="Times New Roman" w:hAnsi="Times New Roman" w:cs="Times New Roman"/>
          <w:b/>
          <w:bCs/>
          <w:color w:val="000000"/>
          <w:sz w:val="28"/>
          <w:szCs w:val="28"/>
        </w:rPr>
        <w:t>бюджета Миллеровского городского поселения Миллеровского района на 2014 год</w:t>
      </w:r>
    </w:p>
    <w:p w:rsidR="00A00A7C" w:rsidRDefault="00A00A7C" w:rsidP="00A00A7C">
      <w:pPr>
        <w:widowControl w:val="0"/>
        <w:tabs>
          <w:tab w:val="right" w:pos="15564"/>
        </w:tabs>
        <w:autoSpaceDE w:val="0"/>
        <w:autoSpaceDN w:val="0"/>
        <w:adjustRightInd w:val="0"/>
        <w:spacing w:before="121" w:after="0" w:line="240" w:lineRule="auto"/>
        <w:rPr>
          <w:sz w:val="24"/>
          <w:szCs w:val="24"/>
        </w:rPr>
      </w:pPr>
      <w:r>
        <w:rPr>
          <w:rFonts w:ascii="MS Sans Serif" w:hAnsi="MS Sans Serif"/>
          <w:sz w:val="24"/>
          <w:szCs w:val="24"/>
        </w:rPr>
        <w:tab/>
      </w:r>
      <w:r>
        <w:rPr>
          <w:rFonts w:ascii="Times New Roman" w:hAnsi="Times New Roman" w:cs="Times New Roman"/>
          <w:b/>
          <w:bCs/>
          <w:color w:val="000000"/>
          <w:sz w:val="28"/>
          <w:szCs w:val="28"/>
        </w:rPr>
        <w:t>(тыс. рублей)</w:t>
      </w:r>
    </w:p>
    <w:p w:rsidR="00872CC1" w:rsidRDefault="00A00A7C" w:rsidP="008D2124">
      <w:pPr>
        <w:widowControl w:val="0"/>
        <w:tabs>
          <w:tab w:val="center" w:pos="12746"/>
        </w:tabs>
        <w:autoSpaceDE w:val="0"/>
        <w:autoSpaceDN w:val="0"/>
        <w:adjustRightInd w:val="0"/>
        <w:spacing w:after="0" w:line="240" w:lineRule="auto"/>
        <w:rPr>
          <w:sz w:val="24"/>
          <w:szCs w:val="24"/>
        </w:rPr>
      </w:pPr>
      <w:r>
        <w:rPr>
          <w:sz w:val="24"/>
          <w:szCs w:val="24"/>
        </w:rPr>
        <w:t xml:space="preserve">               </w:t>
      </w:r>
    </w:p>
    <w:p w:rsidR="00F12124" w:rsidRDefault="00A00A7C" w:rsidP="008D2124">
      <w:pPr>
        <w:widowControl w:val="0"/>
        <w:tabs>
          <w:tab w:val="center" w:pos="12746"/>
        </w:tabs>
        <w:autoSpaceDE w:val="0"/>
        <w:autoSpaceDN w:val="0"/>
        <w:adjustRightInd w:val="0"/>
        <w:spacing w:after="0" w:line="240" w:lineRule="auto"/>
        <w:rPr>
          <w:sz w:val="24"/>
          <w:szCs w:val="24"/>
        </w:rPr>
      </w:pPr>
      <w:r>
        <w:rPr>
          <w:sz w:val="24"/>
          <w:szCs w:val="24"/>
        </w:rPr>
        <w:t xml:space="preserve"> </w:t>
      </w:r>
    </w:p>
    <w:p w:rsidR="002E0F3F" w:rsidRDefault="00A00A7C" w:rsidP="008D2124">
      <w:pPr>
        <w:widowControl w:val="0"/>
        <w:tabs>
          <w:tab w:val="center" w:pos="12746"/>
        </w:tabs>
        <w:autoSpaceDE w:val="0"/>
        <w:autoSpaceDN w:val="0"/>
        <w:adjustRightInd w:val="0"/>
        <w:spacing w:after="0" w:line="240" w:lineRule="auto"/>
        <w:rPr>
          <w:sz w:val="24"/>
          <w:szCs w:val="24"/>
        </w:rPr>
      </w:pPr>
      <w:r>
        <w:rPr>
          <w:sz w:val="24"/>
          <w:szCs w:val="24"/>
        </w:rPr>
        <w:t xml:space="preserve">  </w:t>
      </w:r>
    </w:p>
    <w:p w:rsidR="008C1861" w:rsidRDefault="00A00A7C" w:rsidP="008D2124">
      <w:pPr>
        <w:widowControl w:val="0"/>
        <w:tabs>
          <w:tab w:val="center" w:pos="12746"/>
        </w:tabs>
        <w:autoSpaceDE w:val="0"/>
        <w:autoSpaceDN w:val="0"/>
        <w:adjustRightInd w:val="0"/>
        <w:spacing w:after="0" w:line="240" w:lineRule="auto"/>
        <w:rPr>
          <w:sz w:val="24"/>
          <w:szCs w:val="24"/>
        </w:rPr>
      </w:pPr>
      <w:r>
        <w:rPr>
          <w:sz w:val="24"/>
          <w:szCs w:val="24"/>
        </w:rPr>
        <w:t xml:space="preserve"> </w:t>
      </w:r>
    </w:p>
    <w:tbl>
      <w:tblPr>
        <w:tblW w:w="15446" w:type="dxa"/>
        <w:tblInd w:w="113" w:type="dxa"/>
        <w:tblLook w:val="04A0" w:firstRow="1" w:lastRow="0" w:firstColumn="1" w:lastColumn="0" w:noHBand="0" w:noVBand="1"/>
      </w:tblPr>
      <w:tblGrid>
        <w:gridCol w:w="8420"/>
        <w:gridCol w:w="1073"/>
        <w:gridCol w:w="605"/>
        <w:gridCol w:w="605"/>
        <w:gridCol w:w="1441"/>
        <w:gridCol w:w="823"/>
        <w:gridCol w:w="2479"/>
      </w:tblGrid>
      <w:tr w:rsidR="00793D8A" w:rsidRPr="00793D8A" w:rsidTr="00793D8A">
        <w:trPr>
          <w:trHeight w:val="375"/>
        </w:trPr>
        <w:tc>
          <w:tcPr>
            <w:tcW w:w="8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Наименование</w:t>
            </w:r>
          </w:p>
        </w:tc>
        <w:tc>
          <w:tcPr>
            <w:tcW w:w="1073" w:type="dxa"/>
            <w:tcBorders>
              <w:top w:val="single" w:sz="4" w:space="0" w:color="auto"/>
              <w:left w:val="nil"/>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Мин</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Рз</w:t>
            </w:r>
          </w:p>
        </w:tc>
        <w:tc>
          <w:tcPr>
            <w:tcW w:w="605" w:type="dxa"/>
            <w:tcBorders>
              <w:top w:val="single" w:sz="4" w:space="0" w:color="auto"/>
              <w:left w:val="nil"/>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ПР</w:t>
            </w:r>
          </w:p>
        </w:tc>
        <w:tc>
          <w:tcPr>
            <w:tcW w:w="1441" w:type="dxa"/>
            <w:tcBorders>
              <w:top w:val="single" w:sz="4" w:space="0" w:color="auto"/>
              <w:left w:val="nil"/>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ЦСР</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ВР</w:t>
            </w:r>
          </w:p>
        </w:tc>
        <w:tc>
          <w:tcPr>
            <w:tcW w:w="2479" w:type="dxa"/>
            <w:tcBorders>
              <w:top w:val="single" w:sz="4" w:space="0" w:color="auto"/>
              <w:left w:val="nil"/>
              <w:bottom w:val="single" w:sz="4" w:space="0" w:color="auto"/>
              <w:right w:val="single" w:sz="4" w:space="0" w:color="auto"/>
            </w:tcBorders>
            <w:shd w:val="clear" w:color="auto" w:fill="auto"/>
            <w:noWrap/>
            <w:vAlign w:val="bottom"/>
            <w:hideMark/>
          </w:tcPr>
          <w:p w:rsidR="00793D8A" w:rsidRPr="00793D8A" w:rsidRDefault="00793D8A" w:rsidP="00793D8A">
            <w:pPr>
              <w:spacing w:after="0" w:line="240" w:lineRule="auto"/>
              <w:jc w:val="center"/>
              <w:rPr>
                <w:rFonts w:ascii="Times New Roman" w:eastAsia="Times New Roman" w:hAnsi="Times New Roman" w:cs="Times New Roman"/>
                <w:b/>
                <w:bCs/>
                <w:color w:val="000000"/>
                <w:sz w:val="28"/>
                <w:szCs w:val="28"/>
              </w:rPr>
            </w:pPr>
            <w:r w:rsidRPr="00793D8A">
              <w:rPr>
                <w:rFonts w:ascii="Times New Roman" w:eastAsia="Times New Roman" w:hAnsi="Times New Roman" w:cs="Times New Roman"/>
                <w:b/>
                <w:bCs/>
                <w:color w:val="000000"/>
                <w:sz w:val="28"/>
                <w:szCs w:val="28"/>
              </w:rPr>
              <w:t>Сумма</w:t>
            </w:r>
          </w:p>
        </w:tc>
      </w:tr>
      <w:tr w:rsidR="00793D8A" w:rsidRPr="00793D8A" w:rsidTr="00793D8A">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bookmarkStart w:id="0" w:name="_GoBack"/>
            <w:bookmarkEnd w:id="0"/>
            <w:r w:rsidRPr="00793D8A">
              <w:rPr>
                <w:rFonts w:ascii="Times New Roman" w:eastAsia="Times New Roman" w:hAnsi="Times New Roman" w:cs="Times New Roman"/>
                <w:sz w:val="28"/>
                <w:szCs w:val="28"/>
              </w:rPr>
              <w:t>ВСЕГО</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307 172.3</w:t>
            </w:r>
          </w:p>
        </w:tc>
      </w:tr>
      <w:tr w:rsidR="00793D8A" w:rsidRPr="00793D8A" w:rsidTr="00793D8A">
        <w:trPr>
          <w:trHeight w:val="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Администрация Миллеровского городского поселения</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 </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307 172.3</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829.7</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351.2</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9.6</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выплаты по оплате труда работников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10 126.6</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143.1</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3 414.8</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функций органов местного самоуправления Миллеровского городского поселения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01 2 0019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850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13.1</w:t>
            </w:r>
          </w:p>
        </w:tc>
      </w:tr>
      <w:tr w:rsidR="00793D8A" w:rsidRPr="00793D8A" w:rsidTr="00793D8A">
        <w:trPr>
          <w:trHeight w:val="45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Субвенция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01 2 7239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r>
      <w:tr w:rsidR="00793D8A" w:rsidRPr="00793D8A" w:rsidTr="00793D8A">
        <w:trPr>
          <w:trHeight w:val="78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 выдаче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подготовке местных нормативов градостроительного проектирования поселений, подготовке, утверждению и выдаче градостроительных планов земельных участков, согласованию переустройства и перепланировки жилых помещений, установлению и изменению адресов и адресных ориентиров объектам адресации, расположенным на территории поселения; обеспечению реализации документов территориального планирования (генерального плана поселения), правил землепользования и застройки поселения, осуществлению контроля за их выполнением в рамках непрограммных расходов органов местного самоуправления Миллеровского городского поселения (Иные межбюджетные трансферты)</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99 9 8904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574.6</w:t>
            </w:r>
          </w:p>
        </w:tc>
      </w:tr>
      <w:tr w:rsidR="00793D8A" w:rsidRPr="00793D8A" w:rsidTr="00793D8A">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(Резервные средства)</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99 1 9207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870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115.0</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по оценке муниципального имущества, признание прав и регулирование отношений по муниципальной собственности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01 2 2915</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3 810.0</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(Расходы на выплаты персоналу государственных (муниципальных) органов)</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01 2 9999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301.3</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01 2 9999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122.2</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Реализация направления расходов в рамках подпрограммы «Нормативно-методическое обеспечение и организация бюджетного процесса» муниципальной программы Миллеровского городского поселения «Управление муниципальными финансами и создание условий для эффективного управления муниципальными финансами» (Уплата налогов, сборов и иных платежей)</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01 2 9999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850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448.1</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99 9 2924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14.9</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Финансовое обеспечение мероприятий по временному социально-бытовому обустройству лиц,вынужденно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99 9 5224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284.5</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Иные межбюджетные трансферты на осуществление переданных полномочий городского и сельских поселений по созданию, содержанию и организации деятельности аварийно-спасательных формирований в рамках подпрограммы «Аварийно-спасательные формирования»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03 1 8901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1 515.9</w:t>
            </w:r>
          </w:p>
        </w:tc>
      </w:tr>
      <w:tr w:rsidR="00793D8A" w:rsidRPr="00793D8A" w:rsidTr="00793D8A">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 защите населения и территории от чрезвычайных ситуаций природного и техногенного характера рамках подпрограммы «Гражданская оборона и защита населения от чрезвычайных ситуаций»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межбюджетные трансферты)</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03 2 8902</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136.8</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Мероприятия по обеспечению безопасности людей на водных объектах в рамках подпрограммы «Пожарная безопасность и обеспечение безопасности людей на водных объектах» муниципальной программы Миллеровского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03 3 2916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30.0</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99 1 9207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975.0</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в соответствиис распоряжением Правительства Российской Федерации от 21 июня 2014 года №1109-р в рамках непрограммного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99 9 7111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591.9</w:t>
            </w:r>
          </w:p>
        </w:tc>
      </w:tr>
      <w:tr w:rsidR="00793D8A" w:rsidRPr="00793D8A" w:rsidTr="00793D8A">
        <w:trPr>
          <w:trHeight w:val="45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софинансирование расходных обязательств, возникающих при выполнении полномочий органов местного самоуправления на обеспечение водоснабжения населения, мероприятия по переоценке, оценке или разведке запасов подземных вод на эксплуатируемых муниципальными образованиями участках недр в рамках подпрограммы «Развитие и использование минерально-сырьевой базы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12 2 2973</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264.2</w:t>
            </w:r>
          </w:p>
        </w:tc>
      </w:tr>
      <w:tr w:rsidR="00793D8A" w:rsidRPr="00793D8A" w:rsidTr="00793D8A">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Расходные обязательства, возникающие при выполнении полномочий органов местного самоуправления на обеспечение водоснабжения населения, мероприятия по переоценке, оценке или разведке запасов подземных вод на эксплуатируемых муниципальными образованиями участках недр в рамках подпрограммы «Развитие и использование минерально-сырьевой базы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12 2 7334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1 722.0</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547.8</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Мероприятия в области лесного хозяйства в рамках подпрограммы «Развитие лесного хозяйства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07</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12 3 2921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129.3</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содержание внутригородских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04 1 2901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17 003.2</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текущий ремонт внутригородских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04 1 2902</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2 805.7</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Мероприятия по проектированию автомобильных дорог и искусственных сооружений на них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04 1 2920</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516.1</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Софинансирование расходов на ремонт и содержание автомобильных дорог общего пользования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04 1 2980</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471.0</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04 1 2983</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571.3</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строительство объектов социального и производственного комплексов, в том числе объектов общегражданского назначения, жилья,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04 1 4037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3 546.8</w:t>
            </w:r>
          </w:p>
        </w:tc>
      </w:tr>
      <w:tr w:rsidR="00793D8A" w:rsidRPr="00793D8A" w:rsidTr="00793D8A">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погашение кредиторской задолженности по осуществлению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04 1 7109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1 629.8</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Миллеровского городского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04 1 7347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7 147.1</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04 1 7351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5 893.0</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по нанесению дорожной разметки и установке дорожных знаков в рамках подпрограммы «Повышение безопасности дорожного движения на территории Миллеровского городского поселения» муниципальной программы Миллеровского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09</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04 2 2917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689.0</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Мероприятия в области жилищного хозяйства в рамках подпрограммы «Развитие жилищного хозяйства в Миллеровском городском поселении»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05 1 2905</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214.6</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Мероприятия в области жилищного хозяйства в рамках подпрограммы «Развитие жилищного хозяйства в Миллеровском городском поселении»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05 1 2905</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4 586.0</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99 1 9207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300.0</w:t>
            </w:r>
          </w:p>
        </w:tc>
      </w:tr>
      <w:tr w:rsidR="00793D8A" w:rsidRPr="00793D8A" w:rsidTr="00793D8A">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(Бюджетные инвестиции)</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99 9 2983</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293.6</w:t>
            </w:r>
          </w:p>
        </w:tc>
      </w:tr>
      <w:tr w:rsidR="00793D8A" w:rsidRPr="00793D8A" w:rsidTr="00793D8A">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(Бюджетные инвестиции)</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3 673.0</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05 2 2906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2 225.1</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05 2 2906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760.8</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ремонт и содержание объектов коммунального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(Уплата налогов, сборов и иных платежей)</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05 2 2906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850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78.0</w:t>
            </w:r>
          </w:p>
        </w:tc>
      </w:tr>
      <w:tr w:rsidR="00793D8A" w:rsidRPr="00793D8A" w:rsidTr="00793D8A">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05 2 2977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8 433.1</w:t>
            </w:r>
          </w:p>
        </w:tc>
      </w:tr>
      <w:tr w:rsidR="00793D8A" w:rsidRPr="00793D8A" w:rsidTr="00793D8A">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Софинансирование расходов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05 2 2981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52.5</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Строительство объектов социального и производственного комплексов, в том числе объектов общегражданского назначения, жилья, инфраструктуры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(Бюджетные инвестиции)</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05 2 4037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1 150.0</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строительство и реконструкцию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(Бюджетные инвестиции)</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05 2 7319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14 389.8</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капитальный ремонт объектов водопроводно-канализационного хозяйства в рамках подпрограммы «Создание условий для обеспечения качественными коммунальными услугами населения Миллеровского городского поселения»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05 2 7321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105 527.5</w:t>
            </w:r>
          </w:p>
        </w:tc>
      </w:tr>
      <w:tr w:rsidR="00793D8A" w:rsidRPr="00793D8A" w:rsidTr="00793D8A">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Миллеровского городского поселения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05 2 7366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655.1</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12 1 2975</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199.8</w:t>
            </w:r>
          </w:p>
        </w:tc>
      </w:tr>
      <w:tr w:rsidR="00793D8A" w:rsidRPr="00793D8A" w:rsidTr="00793D8A">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Софинансирование расходов на развитие материальной базы муниципальных образований в сфере обращения с твердыми бытовыми отходами, включая приобретение бункеров (бункеров накопителей) для сбора твердых бытовых отходов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12 1 2984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37.7</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развитие материальной базы муниципальных образований в сфере обращения с твердыми бытовыми отходами, включая приобретение мусоровозов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12 1 7338</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2 500.2</w:t>
            </w:r>
          </w:p>
        </w:tc>
      </w:tr>
      <w:tr w:rsidR="00793D8A" w:rsidRPr="00793D8A" w:rsidTr="00793D8A">
        <w:trPr>
          <w:trHeight w:val="37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развитие материальной базы муниципальных образований в сфере обращения с твердыми бытовыми отходами, включая приобретение бункеров (бункеров накопителей) для сбора твердых бытовых отходов в рамках подпрограммы «Охрана окружающей среды в Миллеровском городском поселении» муниципальной программы Миллеровского городского поселения «Охрана окружающей среды и рациональное природопользование»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12 1 7339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471.5</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36 226.6</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119.9</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ремонт и содержание сетей уличного освещения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05 3 2907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10 362.6</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озеленение территории поселения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05 3 2908</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5 732.4</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содержание мест захоронения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05 3 2909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2 382.0</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прочие мероприятия по благоустройству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05 3 2910</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7 809.3</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прочие мероприятия по благоустройству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юридическим лицам (кроме некоммерческих организаций), индивидуальным предпринимателям, физическим лицам)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05 3 2910</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810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300.0</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капитальный ремонт сетей уличного освещения в рамках подпрограммы «Благоустройство »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05 3 2922</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200.0</w:t>
            </w:r>
          </w:p>
        </w:tc>
      </w:tr>
      <w:tr w:rsidR="00793D8A" w:rsidRPr="00793D8A" w:rsidTr="00793D8A">
        <w:trPr>
          <w:trHeight w:val="33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«Развитие транспортной инфраструктуры Миллеровского городского поселения» муниципальной программы Миллеровского городского поселения «Развитие транспортной системы» (Иные межбюджетные трансферты)</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04 1 8903</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407.3</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деятельности (оказание услуг) муниципальных автономных учреждений Миллеровского городского поселения Миллеровского района в рамках подпрограммы «Благоустройство» муниципальной программы Миллеровского городского поселения «Обеспечение качественными жилищно-коммунальными услугами населения Миллеровского городского поселения»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05 3 0059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825.6</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деятельности (оказание услуг) муниципальных учреждений Миллеровского городского поселения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08 1 0059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5 004.1</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08 1 2914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105.7</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Мероприятия по организации и проведению конкурсов, торжественных и иных мероприятий в области культуры в рамках подпрограммы «Развитие культурно-досуговой деятельности Центра культуры и досуга» муниципальной программы Миллеровского городского поселения «Развитие культуры»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08 1 2914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462.9</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деятельности (оказание услуг) муниципальных учреждений Миллеровского городского поселения в рамках подпрограммы «Развитие библиотечного дела» муниципальной программы Миллеровского городского поселения «Развитие культуры»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08 2 0059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2 260.9</w:t>
            </w:r>
          </w:p>
        </w:tc>
      </w:tr>
      <w:tr w:rsidR="00793D8A" w:rsidRPr="00793D8A" w:rsidTr="00793D8A">
        <w:trPr>
          <w:trHeight w:val="26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деятельности (оказание услуг) муниципальных учреждений Миллеровского городского поселения в рамках подпрограммы «Развитие культурно-досуговой деятельности «Миллеровского городского парка культуры и отдыха им.Романенко» муниципальной программы Миллеровского городского поселения «Развитие культуры»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08 3 0059</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4 390.8</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проектирование по ремонту памятников в рамках подпрограммы "Развитие культурной деятельности на территории Миллеровского городского поселения" муниципальной программы Миллеровского городского поселения "Развитие культуры"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08 4 2923</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50.0</w:t>
            </w:r>
          </w:p>
        </w:tc>
      </w:tr>
      <w:tr w:rsidR="00793D8A" w:rsidRPr="00793D8A" w:rsidTr="00793D8A">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99 1 9010</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226.0</w:t>
            </w:r>
          </w:p>
        </w:tc>
      </w:tr>
      <w:tr w:rsidR="00793D8A" w:rsidRPr="00793D8A" w:rsidTr="00793D8A">
        <w:trPr>
          <w:trHeight w:val="15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(Субсидии автономным учреждениям)</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99 1 9201</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54.4</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08</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01</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99 9 2924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1 051.4</w:t>
            </w:r>
          </w:p>
        </w:tc>
      </w:tr>
      <w:tr w:rsidR="00793D8A" w:rsidRPr="00793D8A" w:rsidTr="00793D8A">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Софинансирование расходов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10 2 2976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523.7</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обеспечение жильем молодых семей в Ростовской области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10 2 2978</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146.8</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обеспечение жильем молодых семей в Ростовской области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10 2 7314</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1 819.7</w:t>
            </w:r>
          </w:p>
        </w:tc>
      </w:tr>
      <w:tr w:rsidR="00793D8A" w:rsidRPr="00793D8A" w:rsidTr="00793D8A">
        <w:trPr>
          <w:trHeight w:val="412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обеспечение мероприятий по переселению граждан из многоквартирного аварийного жилищного фонда, признанного непригодным для проживания, аварийным и подлежащим сносу или реконструкции в рамках подпрограммы «Оказание мер муниципальной поддержки в улучшении жилищных условий отдельным категориям граждан» муниципальной программы Миллеровского городского поселения «Обеспечение доступным и комфортным жильем населения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10 2 7316</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6 553.1</w:t>
            </w:r>
          </w:p>
        </w:tc>
      </w:tr>
      <w:tr w:rsidR="00793D8A" w:rsidRPr="00793D8A" w:rsidTr="00793D8A">
        <w:trPr>
          <w:trHeight w:val="1875"/>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Софинансирование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99 9 2985</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50.0</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мероприятия подпрограммы "Обеспечение жильем молодых семей" федеральной целевой программы "Жилище на 2011-2015 годы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99 9 5020</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35.4</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погашение кредиторской задолженности по иным непрограммным мероприятиям в рамках непрограммого направления деятельности "Реализация функций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99 9 7107</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6 416.4</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lastRenderedPageBreak/>
              <w:t>Расходы на обеспечение жильем молодых семей в Ростовской области за счет средств областного бюджета на софинансирование расходов федерального бюджета в рамках непрограммных расходов органов местного самоуправления Миллеровского городского поселения» (Социальные выплаты гражданам, кроме публичных нормативных социальных выплат)</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10</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03</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99 9 7375</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320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586.5</w:t>
            </w:r>
          </w:p>
        </w:tc>
      </w:tr>
      <w:tr w:rsidR="00793D8A" w:rsidRPr="00793D8A" w:rsidTr="00793D8A">
        <w:trPr>
          <w:trHeight w:val="225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Освещение деятельности органов местного самоуправления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06 1 2913</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250.0</w:t>
            </w:r>
          </w:p>
        </w:tc>
      </w:tr>
      <w:tr w:rsidR="00793D8A" w:rsidRPr="00793D8A" w:rsidTr="00793D8A">
        <w:trPr>
          <w:trHeight w:val="3000"/>
        </w:trPr>
        <w:tc>
          <w:tcPr>
            <w:tcW w:w="8420" w:type="dxa"/>
            <w:tcBorders>
              <w:top w:val="nil"/>
              <w:left w:val="single" w:sz="4" w:space="0" w:color="auto"/>
              <w:bottom w:val="single" w:sz="4" w:space="0" w:color="auto"/>
              <w:right w:val="single" w:sz="4" w:space="0" w:color="auto"/>
            </w:tcBorders>
            <w:shd w:val="clear" w:color="auto" w:fill="auto"/>
            <w:hideMark/>
          </w:tcPr>
          <w:p w:rsidR="00793D8A" w:rsidRPr="00793D8A" w:rsidRDefault="00793D8A" w:rsidP="00793D8A">
            <w:pPr>
              <w:spacing w:after="0" w:line="240" w:lineRule="auto"/>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Расходы на финансовое обеспечение мероприятий по публикации нормативно-правовых актов Миллеровского городского поселения в средствах массовой информации в рамках подпрограммы «Информирование населения» муниципальной программы Миллеровского городского поселения «Информационное общество» (Иные закупки товаров, работ и услуг для обеспечения государственных (муниципальных) нужд)</w:t>
            </w:r>
          </w:p>
        </w:tc>
        <w:tc>
          <w:tcPr>
            <w:tcW w:w="107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951</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12</w:t>
            </w:r>
          </w:p>
        </w:tc>
        <w:tc>
          <w:tcPr>
            <w:tcW w:w="605"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02</w:t>
            </w:r>
          </w:p>
        </w:tc>
        <w:tc>
          <w:tcPr>
            <w:tcW w:w="1441"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06 1 2918</w:t>
            </w:r>
          </w:p>
        </w:tc>
        <w:tc>
          <w:tcPr>
            <w:tcW w:w="823" w:type="dxa"/>
            <w:tcBorders>
              <w:top w:val="nil"/>
              <w:left w:val="nil"/>
              <w:bottom w:val="single" w:sz="4" w:space="0" w:color="auto"/>
              <w:right w:val="single" w:sz="4" w:space="0" w:color="auto"/>
            </w:tcBorders>
            <w:shd w:val="clear" w:color="auto" w:fill="auto"/>
            <w:hideMark/>
          </w:tcPr>
          <w:p w:rsidR="00793D8A" w:rsidRPr="00793D8A" w:rsidRDefault="00793D8A" w:rsidP="00793D8A">
            <w:pPr>
              <w:spacing w:after="0" w:line="240" w:lineRule="auto"/>
              <w:jc w:val="center"/>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240</w:t>
            </w:r>
          </w:p>
        </w:tc>
        <w:tc>
          <w:tcPr>
            <w:tcW w:w="2479" w:type="dxa"/>
            <w:tcBorders>
              <w:top w:val="nil"/>
              <w:left w:val="nil"/>
              <w:bottom w:val="single" w:sz="4" w:space="0" w:color="auto"/>
              <w:right w:val="single" w:sz="4" w:space="0" w:color="auto"/>
            </w:tcBorders>
            <w:shd w:val="clear" w:color="auto" w:fill="auto"/>
            <w:noWrap/>
            <w:hideMark/>
          </w:tcPr>
          <w:p w:rsidR="00793D8A" w:rsidRPr="00793D8A" w:rsidRDefault="00793D8A" w:rsidP="00793D8A">
            <w:pPr>
              <w:spacing w:after="0" w:line="240" w:lineRule="auto"/>
              <w:jc w:val="right"/>
              <w:rPr>
                <w:rFonts w:ascii="Times New Roman" w:eastAsia="Times New Roman" w:hAnsi="Times New Roman" w:cs="Times New Roman"/>
                <w:sz w:val="28"/>
                <w:szCs w:val="28"/>
              </w:rPr>
            </w:pPr>
            <w:r w:rsidRPr="00793D8A">
              <w:rPr>
                <w:rFonts w:ascii="Times New Roman" w:eastAsia="Times New Roman" w:hAnsi="Times New Roman" w:cs="Times New Roman"/>
                <w:sz w:val="28"/>
                <w:szCs w:val="28"/>
              </w:rPr>
              <w:t>525.7</w:t>
            </w:r>
          </w:p>
        </w:tc>
      </w:tr>
    </w:tbl>
    <w:p w:rsidR="00872CC1" w:rsidRDefault="00872CC1" w:rsidP="008D2124">
      <w:pPr>
        <w:widowControl w:val="0"/>
        <w:tabs>
          <w:tab w:val="center" w:pos="12746"/>
        </w:tabs>
        <w:autoSpaceDE w:val="0"/>
        <w:autoSpaceDN w:val="0"/>
        <w:adjustRightInd w:val="0"/>
        <w:spacing w:after="0" w:line="240" w:lineRule="auto"/>
        <w:rPr>
          <w:sz w:val="24"/>
          <w:szCs w:val="24"/>
        </w:rPr>
      </w:pPr>
    </w:p>
    <w:sectPr w:rsidR="00872CC1" w:rsidSect="007F6F6B">
      <w:pgSz w:w="16834" w:h="11904" w:orient="landscape" w:code="9"/>
      <w:pgMar w:top="567" w:right="397" w:bottom="426" w:left="397" w:header="72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61002A87" w:usb1="80000000" w:usb2="00000008" w:usb3="00000000" w:csb0="000101FF" w:csb1="00000000"/>
  </w:font>
  <w:font w:name="MS Sans Serif">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2"/>
  </w:compat>
  <w:rsids>
    <w:rsidRoot w:val="00C13918"/>
    <w:rsid w:val="000679C4"/>
    <w:rsid w:val="00093331"/>
    <w:rsid w:val="000D3A09"/>
    <w:rsid w:val="001476A9"/>
    <w:rsid w:val="00157D94"/>
    <w:rsid w:val="00171DC0"/>
    <w:rsid w:val="00177E61"/>
    <w:rsid w:val="001920E5"/>
    <w:rsid w:val="00196063"/>
    <w:rsid w:val="001A62A7"/>
    <w:rsid w:val="001B2EAB"/>
    <w:rsid w:val="001F6FE3"/>
    <w:rsid w:val="00214CA4"/>
    <w:rsid w:val="00242542"/>
    <w:rsid w:val="00256D5B"/>
    <w:rsid w:val="00261EDE"/>
    <w:rsid w:val="00267D9A"/>
    <w:rsid w:val="00293A2D"/>
    <w:rsid w:val="0029618F"/>
    <w:rsid w:val="002E0F3F"/>
    <w:rsid w:val="0033262E"/>
    <w:rsid w:val="00343E35"/>
    <w:rsid w:val="0037275E"/>
    <w:rsid w:val="00400083"/>
    <w:rsid w:val="00410CA0"/>
    <w:rsid w:val="00460097"/>
    <w:rsid w:val="00474AA5"/>
    <w:rsid w:val="004C0993"/>
    <w:rsid w:val="004C21F3"/>
    <w:rsid w:val="004F7E2F"/>
    <w:rsid w:val="00506886"/>
    <w:rsid w:val="0054446D"/>
    <w:rsid w:val="00555CCA"/>
    <w:rsid w:val="00556203"/>
    <w:rsid w:val="00581C71"/>
    <w:rsid w:val="005832A8"/>
    <w:rsid w:val="00595E23"/>
    <w:rsid w:val="005D1CA0"/>
    <w:rsid w:val="00612311"/>
    <w:rsid w:val="00625916"/>
    <w:rsid w:val="006A44A8"/>
    <w:rsid w:val="006C660B"/>
    <w:rsid w:val="00775B10"/>
    <w:rsid w:val="00786BAD"/>
    <w:rsid w:val="00793D8A"/>
    <w:rsid w:val="007C1D15"/>
    <w:rsid w:val="007D562A"/>
    <w:rsid w:val="007D7560"/>
    <w:rsid w:val="007F3BA6"/>
    <w:rsid w:val="007F6F6B"/>
    <w:rsid w:val="00816B84"/>
    <w:rsid w:val="00856419"/>
    <w:rsid w:val="00872039"/>
    <w:rsid w:val="00872CC1"/>
    <w:rsid w:val="00875B08"/>
    <w:rsid w:val="008C1861"/>
    <w:rsid w:val="008D2124"/>
    <w:rsid w:val="00960F8C"/>
    <w:rsid w:val="0096231A"/>
    <w:rsid w:val="009918B2"/>
    <w:rsid w:val="009D6B8F"/>
    <w:rsid w:val="00A00A7C"/>
    <w:rsid w:val="00A20358"/>
    <w:rsid w:val="00A46777"/>
    <w:rsid w:val="00A46B12"/>
    <w:rsid w:val="00A83ADC"/>
    <w:rsid w:val="00AD4D4D"/>
    <w:rsid w:val="00AE78D6"/>
    <w:rsid w:val="00B130D5"/>
    <w:rsid w:val="00B4394F"/>
    <w:rsid w:val="00B507C1"/>
    <w:rsid w:val="00B5687F"/>
    <w:rsid w:val="00B94442"/>
    <w:rsid w:val="00B95172"/>
    <w:rsid w:val="00BB13E1"/>
    <w:rsid w:val="00C13918"/>
    <w:rsid w:val="00C25F36"/>
    <w:rsid w:val="00C86D14"/>
    <w:rsid w:val="00C87D2F"/>
    <w:rsid w:val="00CA3778"/>
    <w:rsid w:val="00CA7ECE"/>
    <w:rsid w:val="00CC3CD1"/>
    <w:rsid w:val="00CE6000"/>
    <w:rsid w:val="00CF78BA"/>
    <w:rsid w:val="00D2097B"/>
    <w:rsid w:val="00D25093"/>
    <w:rsid w:val="00D267F4"/>
    <w:rsid w:val="00D52008"/>
    <w:rsid w:val="00D645A2"/>
    <w:rsid w:val="00D73B45"/>
    <w:rsid w:val="00DC5CC1"/>
    <w:rsid w:val="00DD0605"/>
    <w:rsid w:val="00E613A1"/>
    <w:rsid w:val="00E84665"/>
    <w:rsid w:val="00EA30C9"/>
    <w:rsid w:val="00F12124"/>
    <w:rsid w:val="00F209E9"/>
    <w:rsid w:val="00F34C03"/>
    <w:rsid w:val="00F40294"/>
    <w:rsid w:val="00F77B2A"/>
    <w:rsid w:val="00F8628B"/>
    <w:rsid w:val="00FE454F"/>
    <w:rsid w:val="00FE7B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A455248-FFC7-4BFC-950E-70A398F959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9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E78D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78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97263">
      <w:bodyDiv w:val="1"/>
      <w:marLeft w:val="0"/>
      <w:marRight w:val="0"/>
      <w:marTop w:val="0"/>
      <w:marBottom w:val="0"/>
      <w:divBdr>
        <w:top w:val="none" w:sz="0" w:space="0" w:color="auto"/>
        <w:left w:val="none" w:sz="0" w:space="0" w:color="auto"/>
        <w:bottom w:val="none" w:sz="0" w:space="0" w:color="auto"/>
        <w:right w:val="none" w:sz="0" w:space="0" w:color="auto"/>
      </w:divBdr>
    </w:div>
    <w:div w:id="186063502">
      <w:bodyDiv w:val="1"/>
      <w:marLeft w:val="0"/>
      <w:marRight w:val="0"/>
      <w:marTop w:val="0"/>
      <w:marBottom w:val="0"/>
      <w:divBdr>
        <w:top w:val="none" w:sz="0" w:space="0" w:color="auto"/>
        <w:left w:val="none" w:sz="0" w:space="0" w:color="auto"/>
        <w:bottom w:val="none" w:sz="0" w:space="0" w:color="auto"/>
        <w:right w:val="none" w:sz="0" w:space="0" w:color="auto"/>
      </w:divBdr>
    </w:div>
    <w:div w:id="308363006">
      <w:bodyDiv w:val="1"/>
      <w:marLeft w:val="0"/>
      <w:marRight w:val="0"/>
      <w:marTop w:val="0"/>
      <w:marBottom w:val="0"/>
      <w:divBdr>
        <w:top w:val="none" w:sz="0" w:space="0" w:color="auto"/>
        <w:left w:val="none" w:sz="0" w:space="0" w:color="auto"/>
        <w:bottom w:val="none" w:sz="0" w:space="0" w:color="auto"/>
        <w:right w:val="none" w:sz="0" w:space="0" w:color="auto"/>
      </w:divBdr>
    </w:div>
    <w:div w:id="398485587">
      <w:bodyDiv w:val="1"/>
      <w:marLeft w:val="0"/>
      <w:marRight w:val="0"/>
      <w:marTop w:val="0"/>
      <w:marBottom w:val="0"/>
      <w:divBdr>
        <w:top w:val="none" w:sz="0" w:space="0" w:color="auto"/>
        <w:left w:val="none" w:sz="0" w:space="0" w:color="auto"/>
        <w:bottom w:val="none" w:sz="0" w:space="0" w:color="auto"/>
        <w:right w:val="none" w:sz="0" w:space="0" w:color="auto"/>
      </w:divBdr>
    </w:div>
    <w:div w:id="412431180">
      <w:bodyDiv w:val="1"/>
      <w:marLeft w:val="0"/>
      <w:marRight w:val="0"/>
      <w:marTop w:val="0"/>
      <w:marBottom w:val="0"/>
      <w:divBdr>
        <w:top w:val="none" w:sz="0" w:space="0" w:color="auto"/>
        <w:left w:val="none" w:sz="0" w:space="0" w:color="auto"/>
        <w:bottom w:val="none" w:sz="0" w:space="0" w:color="auto"/>
        <w:right w:val="none" w:sz="0" w:space="0" w:color="auto"/>
      </w:divBdr>
    </w:div>
    <w:div w:id="492182604">
      <w:bodyDiv w:val="1"/>
      <w:marLeft w:val="0"/>
      <w:marRight w:val="0"/>
      <w:marTop w:val="0"/>
      <w:marBottom w:val="0"/>
      <w:divBdr>
        <w:top w:val="none" w:sz="0" w:space="0" w:color="auto"/>
        <w:left w:val="none" w:sz="0" w:space="0" w:color="auto"/>
        <w:bottom w:val="none" w:sz="0" w:space="0" w:color="auto"/>
        <w:right w:val="none" w:sz="0" w:space="0" w:color="auto"/>
      </w:divBdr>
    </w:div>
    <w:div w:id="534582690">
      <w:bodyDiv w:val="1"/>
      <w:marLeft w:val="0"/>
      <w:marRight w:val="0"/>
      <w:marTop w:val="0"/>
      <w:marBottom w:val="0"/>
      <w:divBdr>
        <w:top w:val="none" w:sz="0" w:space="0" w:color="auto"/>
        <w:left w:val="none" w:sz="0" w:space="0" w:color="auto"/>
        <w:bottom w:val="none" w:sz="0" w:space="0" w:color="auto"/>
        <w:right w:val="none" w:sz="0" w:space="0" w:color="auto"/>
      </w:divBdr>
    </w:div>
    <w:div w:id="600188828">
      <w:bodyDiv w:val="1"/>
      <w:marLeft w:val="0"/>
      <w:marRight w:val="0"/>
      <w:marTop w:val="0"/>
      <w:marBottom w:val="0"/>
      <w:divBdr>
        <w:top w:val="none" w:sz="0" w:space="0" w:color="auto"/>
        <w:left w:val="none" w:sz="0" w:space="0" w:color="auto"/>
        <w:bottom w:val="none" w:sz="0" w:space="0" w:color="auto"/>
        <w:right w:val="none" w:sz="0" w:space="0" w:color="auto"/>
      </w:divBdr>
    </w:div>
    <w:div w:id="768702498">
      <w:bodyDiv w:val="1"/>
      <w:marLeft w:val="0"/>
      <w:marRight w:val="0"/>
      <w:marTop w:val="0"/>
      <w:marBottom w:val="0"/>
      <w:divBdr>
        <w:top w:val="none" w:sz="0" w:space="0" w:color="auto"/>
        <w:left w:val="none" w:sz="0" w:space="0" w:color="auto"/>
        <w:bottom w:val="none" w:sz="0" w:space="0" w:color="auto"/>
        <w:right w:val="none" w:sz="0" w:space="0" w:color="auto"/>
      </w:divBdr>
    </w:div>
    <w:div w:id="1099453120">
      <w:bodyDiv w:val="1"/>
      <w:marLeft w:val="0"/>
      <w:marRight w:val="0"/>
      <w:marTop w:val="0"/>
      <w:marBottom w:val="0"/>
      <w:divBdr>
        <w:top w:val="none" w:sz="0" w:space="0" w:color="auto"/>
        <w:left w:val="none" w:sz="0" w:space="0" w:color="auto"/>
        <w:bottom w:val="none" w:sz="0" w:space="0" w:color="auto"/>
        <w:right w:val="none" w:sz="0" w:space="0" w:color="auto"/>
      </w:divBdr>
    </w:div>
    <w:div w:id="1388577628">
      <w:bodyDiv w:val="1"/>
      <w:marLeft w:val="0"/>
      <w:marRight w:val="0"/>
      <w:marTop w:val="0"/>
      <w:marBottom w:val="0"/>
      <w:divBdr>
        <w:top w:val="none" w:sz="0" w:space="0" w:color="auto"/>
        <w:left w:val="none" w:sz="0" w:space="0" w:color="auto"/>
        <w:bottom w:val="none" w:sz="0" w:space="0" w:color="auto"/>
        <w:right w:val="none" w:sz="0" w:space="0" w:color="auto"/>
      </w:divBdr>
    </w:div>
    <w:div w:id="1475487678">
      <w:bodyDiv w:val="1"/>
      <w:marLeft w:val="0"/>
      <w:marRight w:val="0"/>
      <w:marTop w:val="0"/>
      <w:marBottom w:val="0"/>
      <w:divBdr>
        <w:top w:val="none" w:sz="0" w:space="0" w:color="auto"/>
        <w:left w:val="none" w:sz="0" w:space="0" w:color="auto"/>
        <w:bottom w:val="none" w:sz="0" w:space="0" w:color="auto"/>
        <w:right w:val="none" w:sz="0" w:space="0" w:color="auto"/>
      </w:divBdr>
    </w:div>
    <w:div w:id="1477843762">
      <w:bodyDiv w:val="1"/>
      <w:marLeft w:val="0"/>
      <w:marRight w:val="0"/>
      <w:marTop w:val="0"/>
      <w:marBottom w:val="0"/>
      <w:divBdr>
        <w:top w:val="none" w:sz="0" w:space="0" w:color="auto"/>
        <w:left w:val="none" w:sz="0" w:space="0" w:color="auto"/>
        <w:bottom w:val="none" w:sz="0" w:space="0" w:color="auto"/>
        <w:right w:val="none" w:sz="0" w:space="0" w:color="auto"/>
      </w:divBdr>
    </w:div>
    <w:div w:id="1517693215">
      <w:bodyDiv w:val="1"/>
      <w:marLeft w:val="0"/>
      <w:marRight w:val="0"/>
      <w:marTop w:val="0"/>
      <w:marBottom w:val="0"/>
      <w:divBdr>
        <w:top w:val="none" w:sz="0" w:space="0" w:color="auto"/>
        <w:left w:val="none" w:sz="0" w:space="0" w:color="auto"/>
        <w:bottom w:val="none" w:sz="0" w:space="0" w:color="auto"/>
        <w:right w:val="none" w:sz="0" w:space="0" w:color="auto"/>
      </w:divBdr>
    </w:div>
    <w:div w:id="1697191406">
      <w:bodyDiv w:val="1"/>
      <w:marLeft w:val="0"/>
      <w:marRight w:val="0"/>
      <w:marTop w:val="0"/>
      <w:marBottom w:val="0"/>
      <w:divBdr>
        <w:top w:val="none" w:sz="0" w:space="0" w:color="auto"/>
        <w:left w:val="none" w:sz="0" w:space="0" w:color="auto"/>
        <w:bottom w:val="none" w:sz="0" w:space="0" w:color="auto"/>
        <w:right w:val="none" w:sz="0" w:space="0" w:color="auto"/>
      </w:divBdr>
    </w:div>
    <w:div w:id="1707565258">
      <w:bodyDiv w:val="1"/>
      <w:marLeft w:val="0"/>
      <w:marRight w:val="0"/>
      <w:marTop w:val="0"/>
      <w:marBottom w:val="0"/>
      <w:divBdr>
        <w:top w:val="none" w:sz="0" w:space="0" w:color="auto"/>
        <w:left w:val="none" w:sz="0" w:space="0" w:color="auto"/>
        <w:bottom w:val="none" w:sz="0" w:space="0" w:color="auto"/>
        <w:right w:val="none" w:sz="0" w:space="0" w:color="auto"/>
      </w:divBdr>
    </w:div>
    <w:div w:id="1728381238">
      <w:bodyDiv w:val="1"/>
      <w:marLeft w:val="0"/>
      <w:marRight w:val="0"/>
      <w:marTop w:val="0"/>
      <w:marBottom w:val="0"/>
      <w:divBdr>
        <w:top w:val="none" w:sz="0" w:space="0" w:color="auto"/>
        <w:left w:val="none" w:sz="0" w:space="0" w:color="auto"/>
        <w:bottom w:val="none" w:sz="0" w:space="0" w:color="auto"/>
        <w:right w:val="none" w:sz="0" w:space="0" w:color="auto"/>
      </w:divBdr>
    </w:div>
    <w:div w:id="1876113639">
      <w:bodyDiv w:val="1"/>
      <w:marLeft w:val="0"/>
      <w:marRight w:val="0"/>
      <w:marTop w:val="0"/>
      <w:marBottom w:val="0"/>
      <w:divBdr>
        <w:top w:val="none" w:sz="0" w:space="0" w:color="auto"/>
        <w:left w:val="none" w:sz="0" w:space="0" w:color="auto"/>
        <w:bottom w:val="none" w:sz="0" w:space="0" w:color="auto"/>
        <w:right w:val="none" w:sz="0" w:space="0" w:color="auto"/>
      </w:divBdr>
    </w:div>
    <w:div w:id="1936786089">
      <w:bodyDiv w:val="1"/>
      <w:marLeft w:val="0"/>
      <w:marRight w:val="0"/>
      <w:marTop w:val="0"/>
      <w:marBottom w:val="0"/>
      <w:divBdr>
        <w:top w:val="none" w:sz="0" w:space="0" w:color="auto"/>
        <w:left w:val="none" w:sz="0" w:space="0" w:color="auto"/>
        <w:bottom w:val="none" w:sz="0" w:space="0" w:color="auto"/>
        <w:right w:val="none" w:sz="0" w:space="0" w:color="auto"/>
      </w:divBdr>
    </w:div>
    <w:div w:id="2023239484">
      <w:bodyDiv w:val="1"/>
      <w:marLeft w:val="0"/>
      <w:marRight w:val="0"/>
      <w:marTop w:val="0"/>
      <w:marBottom w:val="0"/>
      <w:divBdr>
        <w:top w:val="none" w:sz="0" w:space="0" w:color="auto"/>
        <w:left w:val="none" w:sz="0" w:space="0" w:color="auto"/>
        <w:bottom w:val="none" w:sz="0" w:space="0" w:color="auto"/>
        <w:right w:val="none" w:sz="0" w:space="0" w:color="auto"/>
      </w:divBdr>
    </w:div>
    <w:div w:id="2059351650">
      <w:bodyDiv w:val="1"/>
      <w:marLeft w:val="0"/>
      <w:marRight w:val="0"/>
      <w:marTop w:val="0"/>
      <w:marBottom w:val="0"/>
      <w:divBdr>
        <w:top w:val="none" w:sz="0" w:space="0" w:color="auto"/>
        <w:left w:val="none" w:sz="0" w:space="0" w:color="auto"/>
        <w:bottom w:val="none" w:sz="0" w:space="0" w:color="auto"/>
        <w:right w:val="none" w:sz="0" w:space="0" w:color="auto"/>
      </w:divBdr>
    </w:div>
    <w:div w:id="214257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874F0-250D-4F84-A41A-01D18E92A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27</Pages>
  <Words>5452</Words>
  <Characters>31082</Characters>
  <Application>Microsoft Office Word</Application>
  <DocSecurity>0</DocSecurity>
  <Lines>259</Lines>
  <Paragraphs>72</Paragraphs>
  <ScaleCrop>false</ScaleCrop>
  <Company/>
  <LinksUpToDate>false</LinksUpToDate>
  <CharactersWithSpaces>36462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Поселение</dc:creator>
  <cp:keywords/>
  <dc:description/>
  <cp:lastModifiedBy>АИСБП</cp:lastModifiedBy>
  <cp:revision>73</cp:revision>
  <cp:lastPrinted>2014-09-26T05:56:00Z</cp:lastPrinted>
  <dcterms:created xsi:type="dcterms:W3CDTF">2014-02-05T07:27:00Z</dcterms:created>
  <dcterms:modified xsi:type="dcterms:W3CDTF">2014-11-10T14:59:00Z</dcterms:modified>
</cp:coreProperties>
</file>